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幼儿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预防肥胖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的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关键期</w:t>
      </w:r>
    </w:p>
    <w:p>
      <w:pPr>
        <w:spacing w:line="360" w:lineRule="auto"/>
        <w:ind w:firstLine="540" w:firstLineChars="200"/>
        <w:rPr>
          <w:rFonts w:hint="eastAsia" w:ascii="宋体" w:hAnsi="宋体" w:eastAsia="宋体" w:cs="宋体"/>
          <w:b w:val="0"/>
          <w:i w:val="0"/>
          <w:caps w:val="0"/>
          <w:color w:val="333333"/>
          <w:spacing w:val="15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15"/>
          <w:sz w:val="24"/>
          <w:szCs w:val="24"/>
          <w:shd w:val="clear" w:fill="FFFFFF"/>
        </w:rPr>
        <w:t>近日，丹麦一项新研究表明，童年期肥胖者成年后肾细胞癌风险增加。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bdr w:val="none" w:color="auto" w:sz="0" w:space="0"/>
        </w:rPr>
      </w:pPr>
      <w:r>
        <w:rPr>
          <w:rFonts w:hint="eastAsia" w:ascii="宋体" w:hAnsi="宋体" w:eastAsia="宋体" w:cs="宋体"/>
          <w:bdr w:val="none" w:color="auto" w:sz="0" w:space="0"/>
        </w:rPr>
        <w:t>研究由丹麦比斯伯格和腓特烈斯贝医院的人员完成。他们对1930~1985年间出生在哥本哈根的30万人的健康数据进行了分析。这些参试者在7~13岁期间，每年接受身高和体重测量。在随后长达32年的观察期里，1010人（其中680名为男性）被诊断为肾细胞癌。研究人员对比参试者体重指数、身高及患病率后发现，身高相近的13岁孩子中，肥胖者比纤瘦者长大后患肾细胞癌的风险高14%；体重相当的13岁孩子中，高个子比矮个子长大后患病风险高12%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bdr w:val="none" w:color="auto" w:sz="0" w:space="0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bdr w:val="none" w:color="auto" w:sz="0" w:space="0"/>
        </w:rPr>
        <w:t>3-6岁是预防肥胖关键期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</w:rPr>
        <w:t>不少家长都觉得孩子小时候胖点才健康可爱，不太在意超重肥胖，更别说干预了。这是一个很大的认知误区，学龄前阶段是影响一生体重的关键时期，如果一个人3~6岁时体重指数增长过快，青春期及成年肥胖的几率将大幅增加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</w:rPr>
        <w:t>进入学龄前期的孩子身高增长速度与2岁前的婴幼儿期相比，会有明显下降，体重增速的下降更明显。这其实是正常的自然生长规律。但是很多家长会觉得，出生时胖嘟嘟的孩子，为何越长越瘦了，是不是营养不够或吃得少，于是就使劲给孩子补，让孩子多吃，久而久之养出了“小胖墩”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</w:rPr>
        <w:t>从肥胖角度讲，学龄前的年龄段是生命周期易发生肥胖的第三个关键期（前两个时期分别是胎儿期和婴儿期），从人类生物学角度来说，学龄前期叫“脂肪重聚”年龄阶段，孩子出生时，脂肪比例比较高，然后逐渐下降，正常发育的孩子，身体的脂肪比例到六七岁开始回弹。“脂肪重聚”的年龄越早，以后越容易发生肥胖。而且，学龄前的肥胖以后更难纠正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dr w:val="none" w:color="auto" w:sz="0" w:space="0"/>
        </w:rPr>
        <w:t>因此，在这个年龄段，要格外注意预防肥胖，家长可从孩子2~3岁起增加水果和蔬菜的摄入量，少让他们看电视、少喝含糖饮料。肥胖儿童的父母应尽早咨询儿科医生，为孩子制定合理的饮食和运动计划。此外，建议要从以下三个方面为孩子的健康打好基础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2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FF0000"/>
          <w:bdr w:val="none" w:color="auto" w:sz="0" w:space="0"/>
        </w:rPr>
        <w:t>第一，饮食方面，保证足量钙摄取的同时，多进行户外活动</w:t>
      </w:r>
      <w:r>
        <w:rPr>
          <w:rFonts w:hint="eastAsia" w:ascii="宋体" w:hAnsi="宋体" w:eastAsia="宋体" w:cs="宋体"/>
          <w:bdr w:val="none" w:color="auto" w:sz="0" w:space="0"/>
        </w:rPr>
        <w:t>。选择阳光灿烂的晴天在户外活动20分钟，使身体产生充分的维生素D，保障骨骼的健康发育。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2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FF0000"/>
          <w:bdr w:val="none" w:color="auto" w:sz="0" w:space="0"/>
        </w:rPr>
        <w:t>第二，睡眠方面，学龄前的孩子推荐每天睡够10~13个小时，并留意孩子是否有打鼾、张口呼吸、盗汗、易惊醒、尿床等问题</w:t>
      </w:r>
      <w:r>
        <w:rPr>
          <w:rFonts w:hint="eastAsia" w:ascii="宋体" w:hAnsi="宋体" w:eastAsia="宋体" w:cs="宋体"/>
          <w:bdr w:val="none" w:color="auto" w:sz="0" w:space="0"/>
        </w:rPr>
        <w:t>。一旦发现有以上情况，应及时就医。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2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FF0000"/>
          <w:bdr w:val="none" w:color="auto" w:sz="0" w:space="0"/>
        </w:rPr>
        <w:t>第三，运动方面，运动有利于孩子肌肉和骨骼发育，提高心肺功能，预防肥胖</w:t>
      </w:r>
      <w:r>
        <w:rPr>
          <w:rFonts w:hint="eastAsia" w:ascii="宋体" w:hAnsi="宋体" w:eastAsia="宋体" w:cs="宋体"/>
          <w:bdr w:val="none" w:color="auto" w:sz="0" w:space="0"/>
        </w:rPr>
        <w:t>。同时，多观察孩子的胸廓发育，定期测量胸围，以便检测孩子的胸廓、胸背肌肉和肺的发育情况。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80" w:firstLineChars="200"/>
        <w:rPr>
          <w:rFonts w:hint="eastAsia" w:ascii="宋体" w:hAnsi="宋体" w:eastAsia="宋体" w:cs="宋体"/>
          <w:bdr w:val="none" w:color="auto" w:sz="0" w:space="0"/>
        </w:rPr>
      </w:pPr>
    </w:p>
    <w:p>
      <w:pPr>
        <w:spacing w:line="360" w:lineRule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15"/>
          <w:sz w:val="24"/>
          <w:szCs w:val="24"/>
          <w:shd w:val="clear" w:fill="FFFFFF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6FF2281"/>
    <w:rsid w:val="27D575E1"/>
    <w:rsid w:val="283B70ED"/>
    <w:rsid w:val="2C427CBF"/>
    <w:rsid w:val="3105130C"/>
    <w:rsid w:val="33EB5444"/>
    <w:rsid w:val="390A475E"/>
    <w:rsid w:val="39662285"/>
    <w:rsid w:val="3BB34ED5"/>
    <w:rsid w:val="3ED7330E"/>
    <w:rsid w:val="4D4E0020"/>
    <w:rsid w:val="4D9B0F26"/>
    <w:rsid w:val="4F7A0FC0"/>
    <w:rsid w:val="52A30ED8"/>
    <w:rsid w:val="53420B16"/>
    <w:rsid w:val="58D417AD"/>
    <w:rsid w:val="5EBC0793"/>
    <w:rsid w:val="6CB52A32"/>
    <w:rsid w:val="706E1C4F"/>
    <w:rsid w:val="76EF1C9F"/>
    <w:rsid w:val="7A206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2019-07-04T08:31:53Z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