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shd w:val="clear" w:fill="FFFFFF"/>
        </w:rPr>
        <w:t>内蒙古城镇小区配套幼儿园治理工作方案</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kern w:val="0"/>
          <w:sz w:val="28"/>
          <w:szCs w:val="28"/>
          <w:bdr w:val="none" w:color="auto" w:sz="0" w:space="0"/>
          <w:lang w:val="en-US" w:eastAsia="zh-CN" w:bidi="ar"/>
        </w:rPr>
        <w:t>一、总体要求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bdr w:val="none" w:color="auto" w:sz="0" w:space="0"/>
        </w:rPr>
        <w:t>  以习近平新时代中国特色社会主义思想为指导，全面贯彻党的十九大和十九届二中、三中全会精神，认真落实全国教育大会部署，坚持以人民为中心的发展思想，认真履行政府责任，依法落实城镇公共服务设施建设规定，分类施策，促进社会共治。针对全区城镇小区配套幼儿园规划、建设、移交、办园等环节存在的突出问题开展专项治理，</w:t>
      </w:r>
      <w:r>
        <w:rPr>
          <w:rStyle w:val="11"/>
          <w:rFonts w:hint="eastAsia" w:asciiTheme="minorEastAsia" w:hAnsiTheme="minorEastAsia" w:eastAsiaTheme="minorEastAsia" w:cstheme="minorEastAsia"/>
          <w:color w:val="AB1942"/>
          <w:sz w:val="28"/>
          <w:szCs w:val="28"/>
          <w:bdr w:val="none" w:color="auto" w:sz="0" w:space="0"/>
        </w:rPr>
        <w:t>确保到2020年全区普惠性幼儿园覆盖率达到80%，公办园在园幼儿占比达到50%，</w:t>
      </w:r>
      <w:r>
        <w:rPr>
          <w:rFonts w:hint="eastAsia" w:asciiTheme="minorEastAsia" w:hAnsiTheme="minorEastAsia" w:eastAsiaTheme="minorEastAsia" w:cstheme="minorEastAsia"/>
          <w:sz w:val="28"/>
          <w:szCs w:val="28"/>
          <w:bdr w:val="none" w:color="auto" w:sz="0" w:space="0"/>
        </w:rPr>
        <w:t>全面提高自治区学前教育公益普惠水平，着力构建以普惠性资源为主体的学前教育公共服务体系。</w:t>
      </w:r>
    </w:p>
    <w:p>
      <w:pPr>
        <w:keepNext w:val="0"/>
        <w:keepLines w:val="0"/>
        <w:widowControl/>
        <w:numPr>
          <w:ilvl w:val="0"/>
          <w:numId w:val="1"/>
        </w:numPr>
        <w:suppressLineNumbers w:val="0"/>
        <w:spacing w:line="240" w:lineRule="auto"/>
        <w:jc w:val="left"/>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kern w:val="0"/>
          <w:sz w:val="28"/>
          <w:szCs w:val="28"/>
          <w:bdr w:val="none" w:color="auto" w:sz="0" w:space="0"/>
          <w:lang w:val="en-US" w:eastAsia="zh-CN" w:bidi="ar"/>
        </w:rPr>
        <w:t>工作任务</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pacing w:val="15"/>
          <w:sz w:val="28"/>
          <w:szCs w:val="28"/>
          <w:bdr w:val="none" w:color="auto" w:sz="0" w:space="0"/>
          <w:lang w:val="en-US" w:eastAsia="zh-CN"/>
        </w:rPr>
        <w:t>1.</w:t>
      </w:r>
      <w:r>
        <w:rPr>
          <w:rFonts w:hint="eastAsia" w:asciiTheme="minorEastAsia" w:hAnsiTheme="minorEastAsia" w:eastAsiaTheme="minorEastAsia" w:cstheme="minorEastAsia"/>
          <w:b/>
          <w:spacing w:val="15"/>
          <w:sz w:val="28"/>
          <w:szCs w:val="28"/>
          <w:bdr w:val="none" w:color="auto" w:sz="0" w:space="0"/>
        </w:rPr>
        <w:t>全面排查城镇小区配套建设幼儿园底数，分类界定幼儿园规划建设情况，建立工作台账</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完善城镇小区依标配建幼儿园政策，建立城镇小区配建幼儿园长效机制。</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2.</w:t>
      </w:r>
      <w:r>
        <w:rPr>
          <w:rStyle w:val="11"/>
          <w:rFonts w:hint="eastAsia" w:asciiTheme="minorEastAsia" w:hAnsiTheme="minorEastAsia" w:eastAsiaTheme="minorEastAsia" w:cstheme="minorEastAsia"/>
          <w:kern w:val="0"/>
          <w:sz w:val="28"/>
          <w:szCs w:val="28"/>
          <w:bdr w:val="none" w:color="auto" w:sz="0" w:space="0"/>
          <w:lang w:val="en-US" w:eastAsia="zh-CN" w:bidi="ar"/>
        </w:rPr>
        <w:t>妥善处理城镇小区配套幼儿园产权归属</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按照城镇小区审批开发时配建幼儿园的法律、标准和相关约定，厘清已建成的小区配套幼儿园产权，并依法依规妥善处理。</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3.</w:t>
      </w:r>
      <w:r>
        <w:rPr>
          <w:rStyle w:val="11"/>
          <w:rFonts w:hint="eastAsia" w:asciiTheme="minorEastAsia" w:hAnsiTheme="minorEastAsia" w:eastAsiaTheme="minorEastAsia" w:cstheme="minorEastAsia"/>
          <w:kern w:val="0"/>
          <w:sz w:val="28"/>
          <w:szCs w:val="28"/>
          <w:bdr w:val="none" w:color="auto" w:sz="0" w:space="0"/>
          <w:lang w:val="en-US" w:eastAsia="zh-CN" w:bidi="ar"/>
        </w:rPr>
        <w:t>规范城镇小区配套幼儿园管理使用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bdr w:val="none" w:color="auto" w:sz="0" w:space="0"/>
        </w:rPr>
        <w:t>切实增加普惠性学前教育资源有效供给，满足人民群众对幼有所育的期盼。</w:t>
      </w:r>
    </w:p>
    <w:p>
      <w:pPr>
        <w:keepNext w:val="0"/>
        <w:keepLines w:val="0"/>
        <w:widowControl/>
        <w:numPr>
          <w:ilvl w:val="0"/>
          <w:numId w:val="1"/>
        </w:numPr>
        <w:suppressLineNumbers w:val="0"/>
        <w:spacing w:line="240" w:lineRule="auto"/>
        <w:ind w:left="0" w:leftChars="0" w:firstLine="0" w:firstLineChars="0"/>
        <w:jc w:val="left"/>
        <w:rPr>
          <w:rStyle w:val="11"/>
          <w:rFonts w:hint="eastAsia" w:asciiTheme="minorEastAsia" w:hAnsiTheme="minorEastAsia" w:eastAsiaTheme="minorEastAsia" w:cstheme="minorEastAsia"/>
          <w:kern w:val="0"/>
          <w:sz w:val="28"/>
          <w:szCs w:val="28"/>
          <w:bdr w:val="none" w:color="auto" w:sz="0" w:space="0"/>
          <w:lang w:val="en-US" w:eastAsia="zh-CN" w:bidi="ar"/>
        </w:rPr>
      </w:pPr>
      <w:r>
        <w:rPr>
          <w:rStyle w:val="11"/>
          <w:rFonts w:hint="eastAsia" w:asciiTheme="minorEastAsia" w:hAnsiTheme="minorEastAsia" w:eastAsiaTheme="minorEastAsia" w:cstheme="minorEastAsia"/>
          <w:kern w:val="0"/>
          <w:sz w:val="28"/>
          <w:szCs w:val="28"/>
          <w:bdr w:val="none" w:color="auto" w:sz="0" w:space="0"/>
          <w:lang w:val="en-US" w:eastAsia="zh-CN" w:bidi="ar"/>
        </w:rPr>
        <w:t>工作措施</w:t>
      </w:r>
    </w:p>
    <w:p>
      <w:pPr>
        <w:keepNext w:val="0"/>
        <w:keepLines w:val="0"/>
        <w:widowControl/>
        <w:numPr>
          <w:numId w:val="0"/>
        </w:numPr>
        <w:suppressLineNumbers w:val="0"/>
        <w:spacing w:line="240" w:lineRule="auto"/>
        <w:ind w:leftChars="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1.</w:t>
      </w:r>
      <w:r>
        <w:rPr>
          <w:rStyle w:val="11"/>
          <w:rFonts w:hint="eastAsia" w:asciiTheme="minorEastAsia" w:hAnsiTheme="minorEastAsia" w:eastAsiaTheme="minorEastAsia" w:cstheme="minorEastAsia"/>
          <w:kern w:val="0"/>
          <w:sz w:val="28"/>
          <w:szCs w:val="28"/>
          <w:bdr w:val="none" w:color="auto" w:sz="0" w:space="0"/>
          <w:lang w:val="en-US" w:eastAsia="zh-CN" w:bidi="ar"/>
        </w:rPr>
        <w:t>全面开展城镇小区配套幼儿园摸底排查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pacing w:val="8"/>
          <w:sz w:val="28"/>
          <w:szCs w:val="28"/>
          <w:bdr w:val="none" w:color="auto" w:sz="0" w:space="0"/>
        </w:rPr>
        <w:t>各地区要聚焦本地区城镇小区配套幼儿园规划、建设、移交、使用情况，全面开展城镇小区配套幼儿园摸底排查工作。摸底排查对象为域内所有投入使用、在建（含已批复未开工）的城镇小区。住房城乡建设、自然资源部门要按照配套幼儿园未规划建设、规划不足、规划到位未建设、规划到位建设不足、规划完备已建成等类别，开展配套幼儿园规划、建设环节摸底排查。教育部门要对已建成小区配套幼儿园的投入使用情况、办园性质、运行情况等开展摸底排查，对未按要求配建幼儿园的小区，根据服务人口情况进行需求测算。各地区要按照城镇小区审批开发时配建幼儿园的法律、法规和相关约定，确定幼儿园是否需移交至教育或其他指定部门。（各盟行政公署、市人民政府，自治区教育厅牵头，自治区自然资源厅、住房城乡建设厅配合）</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2.</w:t>
      </w:r>
      <w:r>
        <w:rPr>
          <w:rStyle w:val="11"/>
          <w:rFonts w:hint="eastAsia" w:asciiTheme="minorEastAsia" w:hAnsiTheme="minorEastAsia" w:eastAsiaTheme="minorEastAsia" w:cstheme="minorEastAsia"/>
          <w:kern w:val="0"/>
          <w:sz w:val="28"/>
          <w:szCs w:val="28"/>
          <w:bdr w:val="none" w:color="auto" w:sz="0" w:space="0"/>
          <w:lang w:val="en-US" w:eastAsia="zh-CN" w:bidi="ar"/>
        </w:rPr>
        <w:t>积极完善城镇小区配套幼儿园管理政策措施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自治区教育厅要会同自治区自然资源厅、住房城乡建设厅、发展改革委等相关部门，依据《中华人民共和国城乡规划法》《城市居住区规划设计标准》（GB50180），</w:t>
      </w:r>
      <w:r>
        <w:rPr>
          <w:rStyle w:val="11"/>
          <w:rFonts w:hint="eastAsia" w:asciiTheme="minorEastAsia" w:hAnsiTheme="minorEastAsia" w:eastAsiaTheme="minorEastAsia" w:cstheme="minorEastAsia"/>
          <w:color w:val="AB1942"/>
          <w:sz w:val="28"/>
          <w:szCs w:val="28"/>
          <w:bdr w:val="none" w:color="auto" w:sz="0" w:space="0"/>
        </w:rPr>
        <w:t>于2019年6月底前出台我区城镇小区配套幼儿园建设管理办法，进一步明确配套幼儿园规划、土地划拨出让、园舍设计建设、验收等政策措施。</w:t>
      </w:r>
      <w:r>
        <w:rPr>
          <w:rFonts w:hint="eastAsia" w:asciiTheme="minorEastAsia" w:hAnsiTheme="minorEastAsia" w:eastAsiaTheme="minorEastAsia" w:cstheme="minorEastAsia"/>
          <w:color w:val="000000"/>
          <w:sz w:val="28"/>
          <w:szCs w:val="28"/>
          <w:bdr w:val="none" w:color="auto" w:sz="0" w:space="0"/>
        </w:rPr>
        <w:t>各盟市要因地制宜出台配套政策措施，确保新开发的城镇小区依法依标配建幼儿园，并规范使用。老城区（棚户区）改造、新城开发和居住区建设、易地扶贫搬迁时，要依法依标严格执行，将配套建设幼儿园纳入公共管理和公共服务设施建设规划，按照《托儿所、幼儿园建筑设计规范》《幼儿园建设标准》予以建设。</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自然资源部门要将城镇小区配套幼儿园必要建设用地及时纳入国土空间规划，符合划拨用地条件的以划拨方式供地；不具备单独供地条件的，应在土地供应时明确配套幼儿园用地的有关要求和依法补偿措施等。住房城乡建设部门要强化对城镇小区配套幼儿园建筑设计、施工建设、验收、移交等环节的监管落实，如出现配套幼儿园缓建、缩建、停建、不建、建而不交和建成改变用途等情况，在整改到位之前，不得办理竣工验收。发展改革部门要积极参与配套幼儿园建设项目规划布局，按程序及时办理审批、核准或备案手续。教育部门要参与配套幼儿园规划、建设、验收等关键环节，做好幼儿园接收及管理等相关工作。（各盟行政公署、市人民政府，自治区教育厅牵头，自治区自然资源厅、住房城乡建设厅、发展改革委配合）</w:t>
      </w:r>
    </w:p>
    <w:p>
      <w:pPr>
        <w:keepNext w:val="0"/>
        <w:keepLines w:val="0"/>
        <w:widowControl/>
        <w:suppressLineNumbers w:val="0"/>
        <w:spacing w:line="240" w:lineRule="auto"/>
        <w:jc w:val="left"/>
        <w:rPr>
          <w:rFonts w:hint="eastAsia" w:asciiTheme="minorEastAsia" w:hAnsiTheme="minorEastAsia" w:eastAsiaTheme="minorEastAsia" w:cstheme="minorEastAsia"/>
          <w:b/>
          <w:spacing w:val="15"/>
          <w:sz w:val="28"/>
          <w:szCs w:val="28"/>
        </w:rPr>
      </w:pPr>
      <w:r>
        <w:rPr>
          <w:rStyle w:val="11"/>
          <w:rFonts w:hint="eastAsia" w:asciiTheme="minorEastAsia" w:hAnsiTheme="minorEastAsia" w:eastAsiaTheme="minorEastAsia" w:cstheme="minorEastAsia"/>
          <w:spacing w:val="15"/>
          <w:sz w:val="28"/>
          <w:szCs w:val="28"/>
          <w:bdr w:val="none" w:color="auto" w:sz="0" w:space="0"/>
          <w:lang w:val="en-US" w:eastAsia="zh-CN"/>
        </w:rPr>
        <w:t>3.</w:t>
      </w:r>
      <w:r>
        <w:rPr>
          <w:rStyle w:val="11"/>
          <w:rFonts w:hint="eastAsia" w:asciiTheme="minorEastAsia" w:hAnsiTheme="minorEastAsia" w:eastAsiaTheme="minorEastAsia" w:cstheme="minorEastAsia"/>
          <w:spacing w:val="15"/>
          <w:sz w:val="28"/>
          <w:szCs w:val="28"/>
          <w:bdr w:val="none" w:color="auto" w:sz="0" w:space="0"/>
        </w:rPr>
        <w:t>稳妥推进城镇小区配套幼儿园分类治理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各地区要牢固树立以人民为中心的发展思想，切实提高政治站位，坚持从实际出发，分类施策、扎实推进城镇小区配套幼儿园治理工作。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right="0"/>
        <w:rPr>
          <w:rFonts w:hint="eastAsia" w:asciiTheme="minorEastAsia" w:hAnsiTheme="minorEastAsia" w:eastAsiaTheme="minorEastAsia" w:cstheme="minorEastAsia"/>
          <w:color w:val="000000"/>
          <w:sz w:val="28"/>
          <w:szCs w:val="28"/>
        </w:rPr>
      </w:pPr>
      <w:r>
        <w:rPr>
          <w:rStyle w:val="11"/>
          <w:rFonts w:hint="eastAsia" w:asciiTheme="minorEastAsia" w:hAnsiTheme="minorEastAsia" w:eastAsiaTheme="minorEastAsia" w:cstheme="minorEastAsia"/>
          <w:color w:val="AB1942"/>
          <w:sz w:val="28"/>
          <w:szCs w:val="28"/>
          <w:bdr w:val="none" w:color="auto" w:sz="0" w:space="0"/>
          <w:lang w:eastAsia="zh-CN"/>
        </w:rPr>
        <w:t>（</w:t>
      </w:r>
      <w:r>
        <w:rPr>
          <w:rStyle w:val="11"/>
          <w:rFonts w:hint="eastAsia" w:asciiTheme="minorEastAsia" w:hAnsiTheme="minorEastAsia" w:eastAsiaTheme="minorEastAsia" w:cstheme="minorEastAsia"/>
          <w:color w:val="AB1942"/>
          <w:sz w:val="28"/>
          <w:szCs w:val="28"/>
        </w:rPr>
        <w:t>1</w:t>
      </w:r>
      <w:r>
        <w:rPr>
          <w:rStyle w:val="11"/>
          <w:rFonts w:hint="eastAsia" w:asciiTheme="minorEastAsia" w:hAnsiTheme="minorEastAsia" w:eastAsiaTheme="minorEastAsia" w:cstheme="minorEastAsia"/>
          <w:color w:val="AB1942"/>
          <w:sz w:val="28"/>
          <w:szCs w:val="28"/>
          <w:bdr w:val="none" w:color="auto" w:sz="0" w:space="0"/>
          <w:lang w:eastAsia="zh-CN"/>
        </w:rPr>
        <w:t>）</w:t>
      </w:r>
      <w:r>
        <w:rPr>
          <w:rStyle w:val="11"/>
          <w:rFonts w:hint="eastAsia" w:asciiTheme="minorEastAsia" w:hAnsiTheme="minorEastAsia" w:eastAsiaTheme="minorEastAsia" w:cstheme="minorEastAsia"/>
          <w:color w:val="AB1942"/>
          <w:sz w:val="28"/>
          <w:szCs w:val="28"/>
          <w:bdr w:val="none" w:color="auto" w:sz="0" w:space="0"/>
        </w:rPr>
        <w:t>对达到配建规模标准而未规划建设配套幼儿园的在建（含已批复尚未开工）城镇小区，</w:t>
      </w:r>
      <w:r>
        <w:rPr>
          <w:rFonts w:hint="eastAsia" w:asciiTheme="minorEastAsia" w:hAnsiTheme="minorEastAsia" w:eastAsiaTheme="minorEastAsia" w:cstheme="minorEastAsia"/>
          <w:color w:val="000000"/>
          <w:sz w:val="28"/>
          <w:szCs w:val="28"/>
          <w:bdr w:val="none" w:color="auto" w:sz="0" w:space="0"/>
        </w:rPr>
        <w:t>各地区要认真查找问题原因，从规划、土地、建设等关键环节着手，积极制定补救措施，明确责任主体，责令限期整改。对有完整配建园规划，但未开工或未列为首期建设项目的城镇小区，要责成开发企业依既定规划按期完成配套幼儿园建设；对缩减少建的，要通过改扩建、补建等方式予以解决；对违背规划进行其他项目建设的，要依法依规予以处置。凡存在上述情形的城镇小区，在整改到位前不予办理房地产开发项目竣工综合验收备案。（各盟行政公署、市人民政府负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right="0"/>
        <w:rPr>
          <w:rFonts w:hint="eastAsia" w:asciiTheme="minorEastAsia" w:hAnsiTheme="minorEastAsia" w:eastAsiaTheme="minorEastAsia" w:cstheme="minorEastAsia"/>
          <w:color w:val="000000"/>
          <w:sz w:val="28"/>
          <w:szCs w:val="28"/>
        </w:rPr>
      </w:pPr>
      <w:r>
        <w:rPr>
          <w:rStyle w:val="11"/>
          <w:rFonts w:hint="eastAsia" w:asciiTheme="minorEastAsia" w:hAnsiTheme="minorEastAsia" w:eastAsiaTheme="minorEastAsia" w:cstheme="minorEastAsia"/>
          <w:color w:val="AB1942"/>
          <w:sz w:val="28"/>
          <w:szCs w:val="28"/>
          <w:bdr w:val="none" w:color="auto" w:sz="0" w:space="0"/>
          <w:lang w:eastAsia="zh-CN"/>
        </w:rPr>
        <w:t>（</w:t>
      </w:r>
      <w:r>
        <w:rPr>
          <w:rStyle w:val="11"/>
          <w:rFonts w:hint="eastAsia" w:asciiTheme="minorEastAsia" w:hAnsiTheme="minorEastAsia" w:eastAsiaTheme="minorEastAsia" w:cstheme="minorEastAsia"/>
          <w:color w:val="AB1942"/>
          <w:sz w:val="28"/>
          <w:szCs w:val="28"/>
          <w:bdr w:val="none" w:color="auto" w:sz="0" w:space="0"/>
        </w:rPr>
        <w:t>2</w:t>
      </w:r>
      <w:r>
        <w:rPr>
          <w:rStyle w:val="11"/>
          <w:rFonts w:hint="eastAsia" w:asciiTheme="minorEastAsia" w:hAnsiTheme="minorEastAsia" w:eastAsiaTheme="minorEastAsia" w:cstheme="minorEastAsia"/>
          <w:color w:val="AB1942"/>
          <w:sz w:val="28"/>
          <w:szCs w:val="28"/>
          <w:bdr w:val="none" w:color="auto" w:sz="0" w:space="0"/>
          <w:lang w:eastAsia="zh-CN"/>
        </w:rPr>
        <w:t>）</w:t>
      </w:r>
      <w:r>
        <w:rPr>
          <w:rStyle w:val="11"/>
          <w:rFonts w:hint="eastAsia" w:asciiTheme="minorEastAsia" w:hAnsiTheme="minorEastAsia" w:eastAsiaTheme="minorEastAsia" w:cstheme="minorEastAsia"/>
          <w:color w:val="AB1942"/>
          <w:sz w:val="28"/>
          <w:szCs w:val="28"/>
          <w:bdr w:val="none" w:color="auto" w:sz="0" w:space="0"/>
        </w:rPr>
        <w:t>对达到配建规模标准、未规划建设配套幼儿园或规划建设不足的已建成城镇小区，</w:t>
      </w:r>
      <w:r>
        <w:rPr>
          <w:rFonts w:hint="eastAsia" w:asciiTheme="minorEastAsia" w:hAnsiTheme="minorEastAsia" w:eastAsiaTheme="minorEastAsia" w:cstheme="minorEastAsia"/>
          <w:color w:val="000000"/>
          <w:sz w:val="28"/>
          <w:szCs w:val="28"/>
          <w:bdr w:val="none" w:color="auto" w:sz="0" w:space="0"/>
        </w:rPr>
        <w:t>要根据《中华人民共和国城乡规划法》《城市居住区规划设计标准》（GB50180）调整规划，扩增配套幼儿园规模，通过补建、改建或就近新建、置换、购置等方式予以解决。小区相关开发企业如不按时落实整改要求，要将其记入不良信用记录，依法依规实施联合惩戒。（各盟行政公署、市人民政府负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right="0"/>
        <w:rPr>
          <w:rFonts w:hint="eastAsia" w:asciiTheme="minorEastAsia" w:hAnsiTheme="minorEastAsia" w:eastAsiaTheme="minorEastAsia" w:cstheme="minorEastAsia"/>
          <w:color w:val="000000"/>
          <w:sz w:val="28"/>
          <w:szCs w:val="28"/>
        </w:rPr>
      </w:pPr>
      <w:r>
        <w:rPr>
          <w:rStyle w:val="11"/>
          <w:rFonts w:hint="eastAsia" w:asciiTheme="minorEastAsia" w:hAnsiTheme="minorEastAsia" w:eastAsiaTheme="minorEastAsia" w:cstheme="minorEastAsia"/>
          <w:color w:val="AB1942"/>
          <w:sz w:val="28"/>
          <w:szCs w:val="28"/>
          <w:bdr w:val="none" w:color="auto" w:sz="0" w:space="0"/>
          <w:lang w:eastAsia="zh-CN"/>
        </w:rPr>
        <w:t>（</w:t>
      </w:r>
      <w:r>
        <w:rPr>
          <w:rStyle w:val="11"/>
          <w:rFonts w:hint="eastAsia" w:asciiTheme="minorEastAsia" w:hAnsiTheme="minorEastAsia" w:eastAsiaTheme="minorEastAsia" w:cstheme="minorEastAsia"/>
          <w:color w:val="AB1942"/>
          <w:sz w:val="28"/>
          <w:szCs w:val="28"/>
          <w:bdr w:val="none" w:color="auto" w:sz="0" w:space="0"/>
        </w:rPr>
        <w:t>3</w:t>
      </w:r>
      <w:r>
        <w:rPr>
          <w:rStyle w:val="11"/>
          <w:rFonts w:hint="eastAsia" w:asciiTheme="minorEastAsia" w:hAnsiTheme="minorEastAsia" w:eastAsiaTheme="minorEastAsia" w:cstheme="minorEastAsia"/>
          <w:color w:val="AB1942"/>
          <w:sz w:val="28"/>
          <w:szCs w:val="28"/>
          <w:bdr w:val="none" w:color="auto" w:sz="0" w:space="0"/>
          <w:lang w:eastAsia="zh-CN"/>
        </w:rPr>
        <w:t>）</w:t>
      </w:r>
      <w:r>
        <w:rPr>
          <w:rStyle w:val="11"/>
          <w:rFonts w:hint="eastAsia" w:asciiTheme="minorEastAsia" w:hAnsiTheme="minorEastAsia" w:eastAsiaTheme="minorEastAsia" w:cstheme="minorEastAsia"/>
          <w:color w:val="AB1942"/>
          <w:sz w:val="28"/>
          <w:szCs w:val="28"/>
          <w:bdr w:val="none" w:color="auto" w:sz="0" w:space="0"/>
        </w:rPr>
        <w:t>各地区要依法依规确定配套幼儿园权属，</w:t>
      </w:r>
      <w:r>
        <w:rPr>
          <w:rFonts w:hint="eastAsia" w:asciiTheme="minorEastAsia" w:hAnsiTheme="minorEastAsia" w:eastAsiaTheme="minorEastAsia" w:cstheme="minorEastAsia"/>
          <w:color w:val="000000"/>
          <w:sz w:val="28"/>
          <w:szCs w:val="28"/>
          <w:bdr w:val="none" w:color="auto" w:sz="0" w:space="0"/>
        </w:rPr>
        <w:t>按照有关规定和流程，通过移交、购置、置换等方式，妥善处置城镇小区配套幼儿园权属问题。对将符合移交规定的配套幼儿园违规出租、出售、挪作他用的，要责成开发企业限期收回并移交。如在《国有建设用地出让合同》中有约定或其他前置审批环节中有规定要求的，按照约定或规定要求的条款执行。（各盟行政公署、市人民政府负责）</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kern w:val="0"/>
          <w:sz w:val="28"/>
          <w:szCs w:val="28"/>
          <w:bdr w:val="none" w:color="auto" w:sz="0" w:space="0"/>
          <w:lang w:val="en-US" w:eastAsia="zh-CN" w:bidi="ar"/>
        </w:rPr>
        <w:t>4.全面规范城镇小区配套幼儿园使用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z w:val="28"/>
          <w:szCs w:val="28"/>
          <w:bdr w:val="none" w:color="auto" w:sz="0" w:space="0"/>
        </w:rPr>
        <w:t>城镇小区配套幼儿园应办成公办园或委托办成普惠性民办园的，禁止办成营利性幼儿园。办成公办园的，要做好教师配备等工作，也可采取人员总量管理、政府购买服务等多种方式解决。委托办成普惠性民办园的，教育部门要做好对举办机构资质、运营能力、卫生安全、保教质量等方面的审核，依法为其办理办学许可证，并对其办园行为进行监管。根据小区配套幼儿园办园性质，分别由机构编制部门和民政部门依法办理事业单位法人登记或民办非企业单位法人登记。（各盟行政公署、市人民政府，自治区教育厅牵头，自治区民政厅配合）</w:t>
      </w:r>
    </w:p>
    <w:p>
      <w:pPr>
        <w:keepNext w:val="0"/>
        <w:keepLines w:val="0"/>
        <w:widowControl/>
        <w:numPr>
          <w:ilvl w:val="0"/>
          <w:numId w:val="1"/>
        </w:numPr>
        <w:suppressLineNumbers w:val="0"/>
        <w:spacing w:line="240" w:lineRule="auto"/>
        <w:ind w:left="0" w:leftChars="0" w:firstLine="0" w:firstLineChars="0"/>
        <w:jc w:val="left"/>
        <w:rPr>
          <w:rStyle w:val="11"/>
          <w:rFonts w:hint="eastAsia" w:asciiTheme="minorEastAsia" w:hAnsiTheme="minorEastAsia" w:eastAsiaTheme="minorEastAsia" w:cstheme="minorEastAsia"/>
          <w:kern w:val="0"/>
          <w:sz w:val="28"/>
          <w:szCs w:val="28"/>
          <w:bdr w:val="none" w:color="auto" w:sz="0" w:space="0"/>
          <w:lang w:val="en-US" w:eastAsia="zh-CN" w:bidi="ar"/>
        </w:rPr>
      </w:pPr>
      <w:r>
        <w:rPr>
          <w:rStyle w:val="11"/>
          <w:rFonts w:hint="eastAsia" w:asciiTheme="minorEastAsia" w:hAnsiTheme="minorEastAsia" w:eastAsiaTheme="minorEastAsia" w:cstheme="minorEastAsia"/>
          <w:kern w:val="0"/>
          <w:sz w:val="28"/>
          <w:szCs w:val="28"/>
          <w:bdr w:val="none" w:color="auto" w:sz="0" w:space="0"/>
          <w:lang w:val="en-US" w:eastAsia="zh-CN" w:bidi="ar"/>
        </w:rPr>
        <w:t>治理步骤</w:t>
      </w:r>
    </w:p>
    <w:p>
      <w:pPr>
        <w:keepNext w:val="0"/>
        <w:keepLines w:val="0"/>
        <w:widowControl/>
        <w:numPr>
          <w:numId w:val="0"/>
        </w:numPr>
        <w:suppressLineNumbers w:val="0"/>
        <w:spacing w:line="240" w:lineRule="auto"/>
        <w:ind w:leftChars="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1.</w:t>
      </w:r>
      <w:r>
        <w:rPr>
          <w:rStyle w:val="11"/>
          <w:rFonts w:hint="eastAsia" w:asciiTheme="minorEastAsia" w:hAnsiTheme="minorEastAsia" w:eastAsiaTheme="minorEastAsia" w:cstheme="minorEastAsia"/>
          <w:kern w:val="0"/>
          <w:sz w:val="28"/>
          <w:szCs w:val="28"/>
          <w:bdr w:val="none" w:color="auto" w:sz="0" w:space="0"/>
          <w:lang w:val="en-US" w:eastAsia="zh-CN" w:bidi="ar"/>
        </w:rPr>
        <w:t>摸底排查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pacing w:val="8"/>
          <w:sz w:val="28"/>
          <w:szCs w:val="28"/>
          <w:bdr w:val="none" w:color="auto" w:sz="0" w:space="0"/>
        </w:rPr>
        <w:t>各地区要于2019年6月25日前，对城镇小区配套幼儿园情况进行全面摸底排查，针对规划、配建、移交、使用不到位等情况，按照是否规划、有规划是否建设、已建设幼儿园产权和使用状况等类别，结合教育部城镇小区配套幼儿园治理进展监测系统要求，分别列出清单、建立台账，台账由旗县（市、区）人民政府报所属盟行政公署、市人民政府，各盟行政公署、市人民政府汇总后统一报自治区城镇小区配套幼儿园治理联席会议办公室。</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2.</w:t>
      </w:r>
      <w:r>
        <w:rPr>
          <w:rStyle w:val="11"/>
          <w:rFonts w:hint="eastAsia" w:asciiTheme="minorEastAsia" w:hAnsiTheme="minorEastAsia" w:eastAsiaTheme="minorEastAsia" w:cstheme="minorEastAsia"/>
          <w:kern w:val="0"/>
          <w:sz w:val="28"/>
          <w:szCs w:val="28"/>
          <w:bdr w:val="none" w:color="auto" w:sz="0" w:space="0"/>
          <w:lang w:val="en-US" w:eastAsia="zh-CN" w:bidi="ar"/>
        </w:rPr>
        <w:t>全面整改</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pacing w:val="8"/>
          <w:sz w:val="28"/>
          <w:szCs w:val="28"/>
          <w:bdr w:val="none" w:color="auto" w:sz="0" w:space="0"/>
        </w:rPr>
        <w:t>各地区要针对摸底排查出的问题，坚持从实际出发，列出整改清单，认真制定切实可行的整改措施，按照“一事一议”“一园一案”要求逐一进行整改，对照台账实行销号管理。按照国家要求，对于已经建成、需要办理移交手续的幼儿园，原则上于2019年7月底前完成移交；对于需要回收、置换、购置的，原则上于2019年9月底前完成；对于需要补建、改建、新建的，原则上于2019年11月底前完成相关建设规划，2020年11月底前完成项目竣工验收。</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3.</w:t>
      </w:r>
      <w:r>
        <w:rPr>
          <w:rStyle w:val="11"/>
          <w:rFonts w:hint="eastAsia" w:asciiTheme="minorEastAsia" w:hAnsiTheme="minorEastAsia" w:eastAsiaTheme="minorEastAsia" w:cstheme="minorEastAsia"/>
          <w:kern w:val="0"/>
          <w:sz w:val="28"/>
          <w:szCs w:val="28"/>
          <w:bdr w:val="none" w:color="auto" w:sz="0" w:space="0"/>
          <w:lang w:val="en-US" w:eastAsia="zh-CN" w:bidi="ar"/>
        </w:rPr>
        <w:t>监督评估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bdr w:val="none" w:color="auto" w:sz="0" w:space="0"/>
        </w:rPr>
        <w:t>自治区将对各盟市自查、摸排、整改等工作开展情况进行监督评估，并对关键环节适时进行抽查。对落实不力、整改不到位的地区和单位进行通报。</w:t>
      </w:r>
    </w:p>
    <w:p>
      <w:pPr>
        <w:keepNext w:val="0"/>
        <w:keepLines w:val="0"/>
        <w:widowControl/>
        <w:numPr>
          <w:ilvl w:val="0"/>
          <w:numId w:val="1"/>
        </w:numPr>
        <w:suppressLineNumbers w:val="0"/>
        <w:spacing w:line="240" w:lineRule="auto"/>
        <w:ind w:left="0" w:leftChars="0" w:firstLine="0" w:firstLineChars="0"/>
        <w:jc w:val="left"/>
        <w:rPr>
          <w:rStyle w:val="11"/>
          <w:rFonts w:hint="eastAsia" w:asciiTheme="minorEastAsia" w:hAnsiTheme="minorEastAsia" w:eastAsiaTheme="minorEastAsia" w:cstheme="minorEastAsia"/>
          <w:kern w:val="0"/>
          <w:sz w:val="28"/>
          <w:szCs w:val="28"/>
          <w:bdr w:val="none" w:color="auto" w:sz="0" w:space="0"/>
          <w:lang w:val="en-US" w:eastAsia="zh-CN" w:bidi="ar"/>
        </w:rPr>
      </w:pPr>
      <w:r>
        <w:rPr>
          <w:rStyle w:val="11"/>
          <w:rFonts w:hint="eastAsia" w:asciiTheme="minorEastAsia" w:hAnsiTheme="minorEastAsia" w:eastAsiaTheme="minorEastAsia" w:cstheme="minorEastAsia"/>
          <w:kern w:val="0"/>
          <w:sz w:val="28"/>
          <w:szCs w:val="28"/>
          <w:bdr w:val="none" w:color="auto" w:sz="0" w:space="0"/>
          <w:lang w:val="en-US" w:eastAsia="zh-CN" w:bidi="ar"/>
        </w:rPr>
        <w:t>组织实施</w:t>
      </w:r>
    </w:p>
    <w:p>
      <w:pPr>
        <w:keepNext w:val="0"/>
        <w:keepLines w:val="0"/>
        <w:widowControl/>
        <w:numPr>
          <w:numId w:val="0"/>
        </w:numPr>
        <w:suppressLineNumbers w:val="0"/>
        <w:spacing w:line="240" w:lineRule="auto"/>
        <w:ind w:leftChars="0"/>
        <w:jc w:val="left"/>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kern w:val="0"/>
          <w:sz w:val="28"/>
          <w:szCs w:val="28"/>
          <w:bdr w:val="none" w:color="auto" w:sz="0" w:space="0"/>
          <w:lang w:val="en-US" w:eastAsia="zh-CN" w:bidi="ar"/>
        </w:rPr>
        <w:t>1.落实主体责任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spacing w:val="8"/>
          <w:sz w:val="28"/>
          <w:szCs w:val="28"/>
          <w:bdr w:val="none" w:color="auto" w:sz="0" w:space="0"/>
        </w:rPr>
        <w:t>开展城镇小区配套幼儿园建设治理工作，是落实党中央关于办好学前教育、实现幼有所育的重要决策部署。各地区要按照国办发〔2019〕3号文件精神，结合本地区实际，切实落实地方政府主体责任，积极稳妥推进治理工作，扩大普惠性学前教育资源，切实保障和改善民生。</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kern w:val="0"/>
          <w:sz w:val="28"/>
          <w:szCs w:val="28"/>
          <w:bdr w:val="none" w:color="auto" w:sz="0" w:space="0"/>
          <w:lang w:val="en-US" w:eastAsia="zh-CN" w:bidi="ar"/>
        </w:rPr>
        <w:t>2.强化部门协同</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自治区建立城镇小区配套幼儿园治理联席会议制度，召集人由协调联系教育工作的自治区人民政府副秘书长担任，成员由自治区教育厅、住房城乡建设厅、自然资源厅、发展改革委、民政厅等部门负责同志组成，联席会议办公室设在自治区教育厅、住房城乡建设厅。各盟市要参照建立相应工作机制，加强治理工作协调，细化治理措施、明确治理步骤、压实部门责任、完善工作网络、建立工作台账、统筹进度安排，确保治理任务如期完成。</w:t>
      </w:r>
    </w:p>
    <w:p>
      <w:pPr>
        <w:keepNext w:val="0"/>
        <w:keepLines w:val="0"/>
        <w:widowControl/>
        <w:suppressLineNumbers w:val="0"/>
        <w:spacing w:line="240" w:lineRule="auto"/>
        <w:jc w:val="left"/>
        <w:rPr>
          <w:rFonts w:hint="eastAsia" w:asciiTheme="minorEastAsia" w:hAnsiTheme="minorEastAsia" w:eastAsiaTheme="minorEastAsia" w:cstheme="minorEastAsia"/>
          <w:sz w:val="28"/>
          <w:szCs w:val="28"/>
        </w:rPr>
      </w:pPr>
      <w:r>
        <w:rPr>
          <w:rStyle w:val="11"/>
          <w:rFonts w:hint="eastAsia" w:asciiTheme="minorEastAsia" w:hAnsiTheme="minorEastAsia" w:eastAsiaTheme="minorEastAsia" w:cstheme="minorEastAsia"/>
          <w:kern w:val="0"/>
          <w:sz w:val="28"/>
          <w:szCs w:val="28"/>
          <w:bdr w:val="none" w:color="auto" w:sz="0" w:space="0"/>
          <w:lang w:val="en-US" w:eastAsia="zh-CN" w:bidi="ar"/>
        </w:rPr>
        <w:t>3.加强工作保障</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要制定科学的信息发布机制，及时向社会宣传相关政策措施，公布治理工作方案、整改措施及治理结果，逐步形成良好的社会舆论氛围。畅通意见反映渠道，设立监督举报电话和信箱。主动接受社会监督，健全部门联动、形势研判和应急反应机制，妥善处理突发事件，坚决维护社会稳定。对在治理工作中发现的学前教育资源严重流失等失职渎职行为和违法违纪案件，要依法依规追究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bdr w:val="none" w:color="auto" w:sz="0" w:space="0"/>
        </w:rPr>
        <w:t>各地区治理工作措施、反映意见渠道以及摸底排查、整改等情况，要按照相关工作要求及时报自治区城镇小区配套幼儿园治理工作联席会议办公室。</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both"/>
        <w:rPr>
          <w:rFonts w:hint="eastAsia" w:asciiTheme="minorEastAsia" w:hAnsiTheme="minorEastAsia" w:eastAsiaTheme="minorEastAsia" w:cstheme="minorEastAsia"/>
          <w:b w:val="0"/>
          <w:i w:val="0"/>
          <w:caps w:val="0"/>
          <w:color w:val="333333"/>
          <w:spacing w:val="8"/>
          <w:sz w:val="28"/>
          <w:szCs w:val="28"/>
        </w:rPr>
      </w:pPr>
    </w:p>
    <w:p>
      <w:pPr>
        <w:spacing w:line="240" w:lineRule="auto"/>
        <w:rPr>
          <w:rFonts w:hint="eastAsia" w:asciiTheme="minorEastAsia" w:hAnsiTheme="minorEastAsia" w:eastAsiaTheme="minorEastAsia" w:cstheme="minorEastAsia"/>
          <w:sz w:val="28"/>
          <w:szCs w:val="28"/>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98EFE"/>
    <w:multiLevelType w:val="singleLevel"/>
    <w:tmpl w:val="40598EF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19D2657"/>
    <w:rsid w:val="14761BF7"/>
    <w:rsid w:val="1C1A0AB9"/>
    <w:rsid w:val="1DE343C2"/>
    <w:rsid w:val="2215217C"/>
    <w:rsid w:val="226C4EAC"/>
    <w:rsid w:val="236C52F7"/>
    <w:rsid w:val="26FF2281"/>
    <w:rsid w:val="27D575E1"/>
    <w:rsid w:val="283B70ED"/>
    <w:rsid w:val="3105130C"/>
    <w:rsid w:val="33EB5444"/>
    <w:rsid w:val="369D26E0"/>
    <w:rsid w:val="390A475E"/>
    <w:rsid w:val="39662285"/>
    <w:rsid w:val="3BB34ED5"/>
    <w:rsid w:val="3ED7330E"/>
    <w:rsid w:val="4D4E0020"/>
    <w:rsid w:val="4F7A0FC0"/>
    <w:rsid w:val="52A30ED8"/>
    <w:rsid w:val="53420B16"/>
    <w:rsid w:val="58D417AD"/>
    <w:rsid w:val="59CA0478"/>
    <w:rsid w:val="5EBC0793"/>
    <w:rsid w:val="69405B03"/>
    <w:rsid w:val="69F9602B"/>
    <w:rsid w:val="6CB52A32"/>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qFormat="1"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qFormat/>
    <w:uiPriority w:val="99"/>
    <w:rPr>
      <w:rFonts w:hint="eastAsia" w:ascii="微软雅黑" w:hAnsi="微软雅黑" w:eastAsia="微软雅黑" w:cs="微软雅黑"/>
      <w:color w:val="000000"/>
      <w:u w:val="none"/>
    </w:rPr>
  </w:style>
  <w:style w:type="character" w:styleId="14">
    <w:name w:val="HTML Acronym"/>
    <w:basedOn w:val="10"/>
    <w:semiHidden/>
    <w:unhideWhenUsed/>
    <w:qFormat/>
    <w:uiPriority w:val="99"/>
  </w:style>
  <w:style w:type="character" w:styleId="15">
    <w:name w:val="Hyperlink"/>
    <w:basedOn w:val="10"/>
    <w:semiHidden/>
    <w:unhideWhenUsed/>
    <w:qFormat/>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qFormat/>
    <w:uiPriority w:val="0"/>
  </w:style>
  <w:style w:type="character" w:customStyle="1" w:styleId="20">
    <w:name w:val="job1"/>
    <w:basedOn w:val="10"/>
    <w:qFormat/>
    <w:uiPriority w:val="0"/>
  </w:style>
  <w:style w:type="character" w:customStyle="1" w:styleId="21">
    <w:name w:val="img_title"/>
    <w:basedOn w:val="10"/>
    <w:qFormat/>
    <w:uiPriority w:val="0"/>
    <w:rPr>
      <w:vanish/>
    </w:rPr>
  </w:style>
  <w:style w:type="character" w:customStyle="1" w:styleId="22">
    <w:name w:val="img_title1"/>
    <w:basedOn w:val="10"/>
    <w:qFormat/>
    <w:uiPriority w:val="0"/>
    <w:rPr>
      <w:vanish/>
    </w:rPr>
  </w:style>
  <w:style w:type="character" w:customStyle="1" w:styleId="23">
    <w:name w:val="img_title2"/>
    <w:basedOn w:val="10"/>
    <w:qFormat/>
    <w:uiPriority w:val="0"/>
    <w:rPr>
      <w:vanish/>
    </w:rPr>
  </w:style>
  <w:style w:type="character" w:customStyle="1" w:styleId="24">
    <w:name w:val="img_title3"/>
    <w:basedOn w:val="10"/>
    <w:qFormat/>
    <w:uiPriority w:val="0"/>
    <w:rPr>
      <w:vanish/>
    </w:rPr>
  </w:style>
  <w:style w:type="character" w:customStyle="1" w:styleId="25">
    <w:name w:val="num41"/>
    <w:basedOn w:val="10"/>
    <w:qFormat/>
    <w:uiPriority w:val="0"/>
  </w:style>
  <w:style w:type="character" w:customStyle="1" w:styleId="26">
    <w:name w:val="name"/>
    <w:basedOn w:val="10"/>
    <w:qFormat/>
    <w:uiPriority w:val="0"/>
    <w:rPr>
      <w:color w:val="695435"/>
      <w:sz w:val="24"/>
      <w:szCs w:val="24"/>
    </w:rPr>
  </w:style>
  <w:style w:type="character" w:customStyle="1" w:styleId="27">
    <w:name w:val="name1"/>
    <w:basedOn w:val="10"/>
    <w:qFormat/>
    <w:uiPriority w:val="0"/>
    <w:rPr>
      <w:color w:val="000000"/>
      <w:sz w:val="39"/>
      <w:szCs w:val="39"/>
    </w:rPr>
  </w:style>
  <w:style w:type="character" w:customStyle="1" w:styleId="28">
    <w:name w:val="name2"/>
    <w:basedOn w:val="10"/>
    <w:qFormat/>
    <w:uiPriority w:val="0"/>
    <w:rPr>
      <w:color w:val="444444"/>
      <w:sz w:val="21"/>
      <w:szCs w:val="21"/>
    </w:rPr>
  </w:style>
  <w:style w:type="character" w:customStyle="1" w:styleId="29">
    <w:name w:val="zw"/>
    <w:basedOn w:val="10"/>
    <w:qFormat/>
    <w:uiPriority w:val="0"/>
    <w:rPr>
      <w:color w:val="BD1E22"/>
      <w:sz w:val="22"/>
      <w:szCs w:val="22"/>
    </w:rPr>
  </w:style>
  <w:style w:type="character" w:customStyle="1" w:styleId="30">
    <w:name w:val="buvis"/>
    <w:basedOn w:val="10"/>
    <w:qFormat/>
    <w:uiPriority w:val="0"/>
    <w:rPr>
      <w:color w:val="999999"/>
    </w:rPr>
  </w:style>
  <w:style w:type="character" w:customStyle="1" w:styleId="31">
    <w:name w:val="buvis1"/>
    <w:basedOn w:val="10"/>
    <w:qFormat/>
    <w:uiPriority w:val="0"/>
    <w:rPr>
      <w:color w:val="CC0000"/>
    </w:rPr>
  </w:style>
  <w:style w:type="character" w:customStyle="1" w:styleId="32">
    <w:name w:val="over"/>
    <w:basedOn w:val="10"/>
    <w:qFormat/>
    <w:uiPriority w:val="0"/>
    <w:rPr>
      <w:color w:val="B60000"/>
    </w:rPr>
  </w:style>
  <w:style w:type="character" w:customStyle="1" w:styleId="33">
    <w:name w:val="over1"/>
    <w:basedOn w:val="10"/>
    <w:qFormat/>
    <w:uiPriority w:val="0"/>
    <w:rPr>
      <w:color w:val="999999"/>
    </w:rPr>
  </w:style>
  <w:style w:type="character" w:customStyle="1" w:styleId="34">
    <w:name w:val="over2"/>
    <w:basedOn w:val="10"/>
    <w:qFormat/>
    <w:uiPriority w:val="0"/>
    <w:rPr>
      <w:color w:val="B60000"/>
    </w:rPr>
  </w:style>
  <w:style w:type="character" w:customStyle="1" w:styleId="35">
    <w:name w:val="over3"/>
    <w:basedOn w:val="10"/>
    <w:uiPriority w:val="0"/>
  </w:style>
  <w:style w:type="character" w:customStyle="1" w:styleId="36">
    <w:name w:val="starting"/>
    <w:basedOn w:val="10"/>
    <w:qFormat/>
    <w:uiPriority w:val="0"/>
    <w:rPr>
      <w:color w:val="339900"/>
    </w:rPr>
  </w:style>
  <w:style w:type="character" w:customStyle="1" w:styleId="37">
    <w:name w:val="starting1"/>
    <w:basedOn w:val="10"/>
    <w:qFormat/>
    <w:uiPriority w:val="0"/>
  </w:style>
  <w:style w:type="character" w:customStyle="1" w:styleId="38">
    <w:name w:val="starting2"/>
    <w:basedOn w:val="10"/>
    <w:qFormat/>
    <w:uiPriority w:val="0"/>
    <w:rPr>
      <w:color w:val="B60000"/>
    </w:rPr>
  </w:style>
  <w:style w:type="character" w:customStyle="1" w:styleId="39">
    <w:name w:val="starting3"/>
    <w:basedOn w:val="10"/>
    <w:qFormat/>
    <w:uiPriority w:val="0"/>
    <w:rPr>
      <w:color w:val="339900"/>
    </w:rPr>
  </w:style>
  <w:style w:type="character" w:customStyle="1" w:styleId="40">
    <w:name w:val="starting4"/>
    <w:basedOn w:val="10"/>
    <w:uiPriority w:val="0"/>
  </w:style>
  <w:style w:type="character" w:customStyle="1" w:styleId="41">
    <w:name w:val="nostart"/>
    <w:basedOn w:val="10"/>
    <w:qFormat/>
    <w:uiPriority w:val="0"/>
    <w:rPr>
      <w:color w:val="FF0000"/>
    </w:rPr>
  </w:style>
  <w:style w:type="character" w:customStyle="1" w:styleId="42">
    <w:name w:val="nostart1"/>
    <w:basedOn w:val="10"/>
    <w:uiPriority w:val="0"/>
    <w:rPr>
      <w:color w:val="B60000"/>
    </w:rPr>
  </w:style>
  <w:style w:type="character" w:customStyle="1" w:styleId="43">
    <w:name w:val="nostart2"/>
    <w:basedOn w:val="10"/>
    <w:uiPriority w:val="0"/>
    <w:rPr>
      <w:color w:val="FF0000"/>
    </w:rPr>
  </w:style>
  <w:style w:type="character" w:customStyle="1" w:styleId="44">
    <w:name w:val="nostart3"/>
    <w:basedOn w:val="10"/>
    <w:uiPriority w:val="0"/>
  </w:style>
  <w:style w:type="character" w:customStyle="1" w:styleId="45">
    <w:name w:val="p05"/>
    <w:basedOn w:val="10"/>
    <w:uiPriority w:val="0"/>
  </w:style>
  <w:style w:type="character" w:customStyle="1" w:styleId="46">
    <w:name w:val="txt20"/>
    <w:basedOn w:val="10"/>
    <w:uiPriority w:val="0"/>
  </w:style>
  <w:style w:type="character" w:customStyle="1" w:styleId="47">
    <w:name w:val="txt21"/>
    <w:basedOn w:val="10"/>
    <w:uiPriority w:val="0"/>
    <w:rPr>
      <w:color w:val="C0C0C0"/>
    </w:rPr>
  </w:style>
  <w:style w:type="character" w:customStyle="1" w:styleId="48">
    <w:name w:val="red"/>
    <w:basedOn w:val="10"/>
    <w:uiPriority w:val="0"/>
    <w:rPr>
      <w:rFonts w:hint="default" w:ascii="Arial" w:hAnsi="Arial" w:cs="Arial"/>
      <w:color w:val="E50000"/>
    </w:rPr>
  </w:style>
  <w:style w:type="character" w:customStyle="1" w:styleId="49">
    <w:name w:val="msg-box32"/>
    <w:basedOn w:val="10"/>
    <w:uiPriority w:val="0"/>
  </w:style>
  <w:style w:type="character" w:customStyle="1" w:styleId="50">
    <w:name w:val="msg-box33"/>
    <w:basedOn w:val="10"/>
    <w:uiPriority w:val="0"/>
  </w:style>
  <w:style w:type="character" w:customStyle="1" w:styleId="51">
    <w:name w:val="msg-box34"/>
    <w:basedOn w:val="10"/>
    <w:uiPriority w:val="0"/>
  </w:style>
  <w:style w:type="character" w:customStyle="1" w:styleId="52">
    <w:name w:val="msg-box35"/>
    <w:basedOn w:val="10"/>
    <w:uiPriority w:val="0"/>
  </w:style>
  <w:style w:type="character" w:customStyle="1" w:styleId="53">
    <w:name w:val="tit11"/>
    <w:basedOn w:val="10"/>
    <w:qFormat/>
    <w:uiPriority w:val="0"/>
    <w:rPr>
      <w:color w:val="B60000"/>
    </w:rPr>
  </w:style>
  <w:style w:type="character" w:customStyle="1" w:styleId="54">
    <w:name w:val="tit12"/>
    <w:basedOn w:val="10"/>
    <w:uiPriority w:val="0"/>
    <w:rPr>
      <w:color w:val="FFFFFF"/>
    </w:rPr>
  </w:style>
  <w:style w:type="character" w:customStyle="1" w:styleId="55">
    <w:name w:val="tit13"/>
    <w:basedOn w:val="10"/>
    <w:uiPriority w:val="0"/>
    <w:rPr>
      <w:color w:val="B60000"/>
    </w:rPr>
  </w:style>
  <w:style w:type="character" w:customStyle="1" w:styleId="56">
    <w:name w:val="tit14"/>
    <w:basedOn w:val="10"/>
    <w:uiPriority w:val="0"/>
    <w:rPr>
      <w:b/>
      <w:color w:val="B60000"/>
    </w:rPr>
  </w:style>
  <w:style w:type="character" w:customStyle="1" w:styleId="57">
    <w:name w:val="tit15"/>
    <w:basedOn w:val="10"/>
    <w:qFormat/>
    <w:uiPriority w:val="0"/>
    <w:rPr>
      <w:color w:val="B60000"/>
    </w:rPr>
  </w:style>
  <w:style w:type="character" w:customStyle="1" w:styleId="58">
    <w:name w:val="tit16"/>
    <w:basedOn w:val="10"/>
    <w:qFormat/>
    <w:uiPriority w:val="0"/>
    <w:rPr>
      <w:color w:val="B60000"/>
      <w:sz w:val="27"/>
      <w:szCs w:val="27"/>
      <w:bdr w:val="single" w:color="DFCEB8" w:sz="6" w:space="0"/>
      <w:shd w:val="clear" w:fill="FFFFFF"/>
    </w:rPr>
  </w:style>
  <w:style w:type="character" w:customStyle="1" w:styleId="59">
    <w:name w:val="tit17"/>
    <w:basedOn w:val="10"/>
    <w:qFormat/>
    <w:uiPriority w:val="0"/>
    <w:rPr>
      <w:color w:val="04A06C"/>
    </w:rPr>
  </w:style>
  <w:style w:type="character" w:customStyle="1" w:styleId="60">
    <w:name w:val="jg"/>
    <w:basedOn w:val="10"/>
    <w:qFormat/>
    <w:uiPriority w:val="0"/>
  </w:style>
  <w:style w:type="character" w:customStyle="1" w:styleId="61">
    <w:name w:val="datetime"/>
    <w:basedOn w:val="10"/>
    <w:qFormat/>
    <w:uiPriority w:val="0"/>
    <w:rPr>
      <w:rFonts w:hint="default" w:ascii="Arial" w:hAnsi="Arial" w:cs="Arial"/>
      <w:color w:val="999999"/>
      <w:sz w:val="21"/>
      <w:szCs w:val="21"/>
    </w:rPr>
  </w:style>
  <w:style w:type="character" w:customStyle="1" w:styleId="62">
    <w:name w:val="img2"/>
    <w:basedOn w:val="10"/>
    <w:qFormat/>
    <w:uiPriority w:val="0"/>
  </w:style>
  <w:style w:type="character" w:customStyle="1" w:styleId="63">
    <w:name w:val="num210"/>
    <w:basedOn w:val="10"/>
    <w:qFormat/>
    <w:uiPriority w:val="0"/>
  </w:style>
  <w:style w:type="character" w:customStyle="1" w:styleId="64">
    <w:name w:val="num51"/>
    <w:basedOn w:val="10"/>
    <w:qFormat/>
    <w:uiPriority w:val="0"/>
  </w:style>
  <w:style w:type="character" w:customStyle="1" w:styleId="65">
    <w:name w:val="num61"/>
    <w:basedOn w:val="10"/>
    <w:qFormat/>
    <w:uiPriority w:val="0"/>
  </w:style>
  <w:style w:type="character" w:customStyle="1" w:styleId="66">
    <w:name w:val="num31"/>
    <w:basedOn w:val="10"/>
    <w:qFormat/>
    <w:uiPriority w:val="0"/>
  </w:style>
  <w:style w:type="character" w:customStyle="1" w:styleId="67">
    <w:name w:val="num81"/>
    <w:basedOn w:val="10"/>
    <w:qFormat/>
    <w:uiPriority w:val="0"/>
  </w:style>
  <w:style w:type="character" w:customStyle="1" w:styleId="68">
    <w:name w:val="num71"/>
    <w:basedOn w:val="10"/>
    <w:qFormat/>
    <w:uiPriority w:val="0"/>
  </w:style>
  <w:style w:type="character" w:customStyle="1" w:styleId="69">
    <w:name w:val="l1"/>
    <w:basedOn w:val="10"/>
    <w:qFormat/>
    <w:uiPriority w:val="0"/>
    <w:rPr>
      <w:color w:val="999999"/>
    </w:rPr>
  </w:style>
  <w:style w:type="character" w:customStyle="1" w:styleId="70">
    <w:name w:val="l3"/>
    <w:basedOn w:val="10"/>
    <w:qFormat/>
    <w:uiPriority w:val="0"/>
    <w:rPr>
      <w:color w:val="999999"/>
    </w:rPr>
  </w:style>
  <w:style w:type="character" w:customStyle="1" w:styleId="71">
    <w:name w:val="l21"/>
    <w:basedOn w:val="10"/>
    <w:qFormat/>
    <w:uiPriority w:val="0"/>
    <w:rPr>
      <w:color w:val="999999"/>
    </w:rPr>
  </w:style>
  <w:style w:type="character" w:customStyle="1" w:styleId="72">
    <w:name w:val="l41"/>
    <w:basedOn w:val="10"/>
    <w:qFormat/>
    <w:uiPriority w:val="0"/>
    <w:rPr>
      <w:color w:val="999999"/>
    </w:rPr>
  </w:style>
  <w:style w:type="character" w:customStyle="1" w:styleId="73">
    <w:name w:val="l5"/>
    <w:basedOn w:val="10"/>
    <w:uiPriority w:val="0"/>
    <w:rPr>
      <w:color w:val="999999"/>
    </w:rPr>
  </w:style>
  <w:style w:type="character" w:customStyle="1" w:styleId="74">
    <w:name w:val="l6"/>
    <w:basedOn w:val="10"/>
    <w:qFormat/>
    <w:uiPriority w:val="0"/>
    <w:rPr>
      <w:color w:val="999999"/>
    </w:rPr>
  </w:style>
  <w:style w:type="character" w:customStyle="1" w:styleId="75">
    <w:name w:val="l7"/>
    <w:basedOn w:val="10"/>
    <w:qFormat/>
    <w:uiPriority w:val="0"/>
    <w:rPr>
      <w:color w:val="999999"/>
    </w:rPr>
  </w:style>
  <w:style w:type="character" w:customStyle="1" w:styleId="76">
    <w:name w:val="unit"/>
    <w:basedOn w:val="10"/>
    <w:qFormat/>
    <w:uiPriority w:val="0"/>
    <w:rPr>
      <w:color w:val="999999"/>
    </w:rPr>
  </w:style>
  <w:style w:type="character" w:customStyle="1" w:styleId="77">
    <w:name w:val="shixiao"/>
    <w:basedOn w:val="10"/>
    <w:qFormat/>
    <w:uiPriority w:val="0"/>
  </w:style>
  <w:style w:type="character" w:customStyle="1" w:styleId="78">
    <w:name w:val="c1"/>
    <w:basedOn w:val="10"/>
    <w:qFormat/>
    <w:uiPriority w:val="0"/>
  </w:style>
  <w:style w:type="character" w:customStyle="1" w:styleId="79">
    <w:name w:val="c2"/>
    <w:basedOn w:val="10"/>
    <w:qFormat/>
    <w:uiPriority w:val="0"/>
  </w:style>
  <w:style w:type="character" w:customStyle="1" w:styleId="80">
    <w:name w:val="c3"/>
    <w:basedOn w:val="10"/>
    <w:uiPriority w:val="0"/>
  </w:style>
  <w:style w:type="character" w:customStyle="1" w:styleId="81">
    <w:name w:val="zs"/>
    <w:basedOn w:val="10"/>
    <w:uiPriority w:val="0"/>
    <w:rPr>
      <w:color w:val="8D744B"/>
      <w:sz w:val="18"/>
      <w:szCs w:val="18"/>
    </w:rPr>
  </w:style>
  <w:style w:type="character" w:customStyle="1" w:styleId="82">
    <w:name w:val="mesg-myd"/>
    <w:basedOn w:val="10"/>
    <w:uiPriority w:val="0"/>
    <w:rPr>
      <w:color w:val="EE0000"/>
    </w:rPr>
  </w:style>
  <w:style w:type="character" w:customStyle="1" w:styleId="83">
    <w:name w:val="num8"/>
    <w:basedOn w:val="10"/>
    <w:qFormat/>
    <w:uiPriority w:val="0"/>
  </w:style>
  <w:style w:type="character" w:customStyle="1" w:styleId="84">
    <w:name w:val="txt3"/>
    <w:basedOn w:val="10"/>
    <w:qFormat/>
    <w:uiPriority w:val="0"/>
  </w:style>
  <w:style w:type="character" w:customStyle="1" w:styleId="85">
    <w:name w:val="txt4"/>
    <w:basedOn w:val="10"/>
    <w:qFormat/>
    <w:uiPriority w:val="0"/>
    <w:rPr>
      <w:color w:val="C0C0C0"/>
    </w:rPr>
  </w:style>
  <w:style w:type="character" w:customStyle="1" w:styleId="86">
    <w:name w:val="red2"/>
    <w:basedOn w:val="10"/>
    <w:qFormat/>
    <w:uiPriority w:val="0"/>
    <w:rPr>
      <w:rFonts w:hint="default" w:ascii="Arial" w:hAnsi="Arial" w:cs="Arial"/>
      <w:color w:val="E50000"/>
    </w:rPr>
  </w:style>
  <w:style w:type="character" w:customStyle="1" w:styleId="87">
    <w:name w:val="img_title10"/>
    <w:basedOn w:val="10"/>
    <w:qFormat/>
    <w:uiPriority w:val="0"/>
    <w:rPr>
      <w:vanish/>
    </w:rPr>
  </w:style>
  <w:style w:type="character" w:customStyle="1" w:styleId="88">
    <w:name w:val="img_title11"/>
    <w:basedOn w:val="10"/>
    <w:uiPriority w:val="0"/>
    <w:rPr>
      <w:vanish/>
    </w:rPr>
  </w:style>
  <w:style w:type="character" w:customStyle="1" w:styleId="89">
    <w:name w:val="img_title12"/>
    <w:basedOn w:val="10"/>
    <w:qFormat/>
    <w:uiPriority w:val="0"/>
    <w:rPr>
      <w:vanish/>
    </w:rPr>
  </w:style>
  <w:style w:type="character" w:customStyle="1" w:styleId="90">
    <w:name w:val="img_title13"/>
    <w:basedOn w:val="10"/>
    <w:qFormat/>
    <w:uiPriority w:val="0"/>
    <w:rPr>
      <w:vanish/>
    </w:rPr>
  </w:style>
  <w:style w:type="character" w:customStyle="1" w:styleId="91">
    <w:name w:val="img3"/>
    <w:basedOn w:val="10"/>
    <w:qFormat/>
    <w:uiPriority w:val="0"/>
  </w:style>
  <w:style w:type="character" w:customStyle="1" w:styleId="92">
    <w:name w:val="l2"/>
    <w:basedOn w:val="10"/>
    <w:qFormat/>
    <w:uiPriority w:val="0"/>
    <w:rPr>
      <w:color w:val="999999"/>
    </w:rPr>
  </w:style>
  <w:style w:type="character" w:customStyle="1" w:styleId="93">
    <w:name w:val="l4"/>
    <w:basedOn w:val="10"/>
    <w:qFormat/>
    <w:uiPriority w:val="0"/>
    <w:rPr>
      <w:color w:val="999999"/>
    </w:rPr>
  </w:style>
  <w:style w:type="character" w:customStyle="1" w:styleId="94">
    <w:name w:val="name3"/>
    <w:basedOn w:val="10"/>
    <w:qFormat/>
    <w:uiPriority w:val="0"/>
    <w:rPr>
      <w:color w:val="695435"/>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