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jc w:val="center"/>
        <w:rPr>
          <w:rFonts w:hint="eastAsia" w:ascii="Microsoft YaHei UI" w:hAnsi="Microsoft YaHei UI" w:eastAsia="Microsoft YaHei UI" w:cs="Microsoft YaHei UI"/>
          <w:i w:val="0"/>
          <w:caps w:val="0"/>
          <w:color w:val="333333"/>
          <w:spacing w:val="8"/>
          <w:sz w:val="33"/>
          <w:szCs w:val="33"/>
          <w:shd w:val="clear" w:fill="FFFFFF"/>
        </w:rPr>
      </w:pPr>
      <w:r>
        <w:rPr>
          <w:rFonts w:hint="eastAsia" w:ascii="Microsoft YaHei UI" w:hAnsi="Microsoft YaHei UI" w:eastAsia="Microsoft YaHei UI" w:cs="Microsoft YaHei UI"/>
          <w:i w:val="0"/>
          <w:caps w:val="0"/>
          <w:color w:val="333333"/>
          <w:spacing w:val="8"/>
          <w:sz w:val="33"/>
          <w:szCs w:val="33"/>
          <w:shd w:val="clear" w:fill="FFFFFF"/>
        </w:rPr>
        <w:t>吉林省城镇小区配套幼儿园专项治理工作方案</w:t>
      </w:r>
    </w:p>
    <w:p>
      <w:pPr>
        <w:pStyle w:val="7"/>
        <w:keepNext w:val="0"/>
        <w:keepLines w:val="0"/>
        <w:widowControl/>
        <w:suppressLineNumbers w:val="0"/>
        <w:shd w:val="clear" w:fill="FFFFFF"/>
        <w:spacing w:before="0" w:beforeAutospacing="0" w:after="240" w:afterAutospacing="0" w:line="240" w:lineRule="auto"/>
        <w:ind w:left="0" w:right="0" w:firstLine="0"/>
        <w:jc w:val="center"/>
        <w:rPr>
          <w:rFonts w:hint="eastAsia" w:asciiTheme="minorEastAsia" w:hAnsiTheme="minorEastAsia" w:eastAsiaTheme="minorEastAsia" w:cstheme="minorEastAsia"/>
          <w:i w:val="0"/>
          <w:caps w:val="0"/>
          <w:color w:val="333333"/>
          <w:spacing w:val="8"/>
          <w:sz w:val="28"/>
          <w:szCs w:val="28"/>
        </w:rPr>
      </w:pPr>
      <w:r>
        <w:rPr>
          <w:rStyle w:val="11"/>
          <w:rFonts w:hint="eastAsia" w:asciiTheme="minorEastAsia" w:hAnsiTheme="minorEastAsia" w:eastAsiaTheme="minorEastAsia" w:cstheme="minorEastAsia"/>
          <w:i w:val="0"/>
          <w:caps w:val="0"/>
          <w:color w:val="333333"/>
          <w:spacing w:val="8"/>
          <w:sz w:val="28"/>
          <w:szCs w:val="28"/>
          <w:shd w:val="clear" w:fill="FFFFFF"/>
        </w:rPr>
        <w:t>吉林省人民政府办公厅关于印发</w:t>
      </w:r>
    </w:p>
    <w:p>
      <w:pPr>
        <w:pStyle w:val="7"/>
        <w:keepNext w:val="0"/>
        <w:keepLines w:val="0"/>
        <w:widowControl/>
        <w:suppressLineNumbers w:val="0"/>
        <w:shd w:val="clear" w:fill="FFFFFF"/>
        <w:spacing w:before="0" w:beforeAutospacing="0" w:after="240" w:afterAutospacing="0" w:line="240" w:lineRule="auto"/>
        <w:ind w:left="0" w:right="0" w:firstLine="0"/>
        <w:jc w:val="center"/>
        <w:rPr>
          <w:rFonts w:hint="eastAsia" w:asciiTheme="minorEastAsia" w:hAnsiTheme="minorEastAsia" w:eastAsiaTheme="minorEastAsia" w:cstheme="minorEastAsia"/>
          <w:i w:val="0"/>
          <w:caps w:val="0"/>
          <w:color w:val="333333"/>
          <w:spacing w:val="8"/>
          <w:sz w:val="28"/>
          <w:szCs w:val="28"/>
        </w:rPr>
      </w:pPr>
      <w:r>
        <w:rPr>
          <w:rStyle w:val="11"/>
          <w:rFonts w:hint="eastAsia" w:asciiTheme="minorEastAsia" w:hAnsiTheme="minorEastAsia" w:eastAsiaTheme="minorEastAsia" w:cstheme="minorEastAsia"/>
          <w:i w:val="0"/>
          <w:caps w:val="0"/>
          <w:color w:val="333333"/>
          <w:spacing w:val="8"/>
          <w:sz w:val="28"/>
          <w:szCs w:val="28"/>
          <w:shd w:val="clear" w:fill="FFFFFF"/>
        </w:rPr>
        <w:t>吉林省城镇小区配套幼儿园专项治理工作方案的通知</w:t>
      </w:r>
    </w:p>
    <w:p>
      <w:pPr>
        <w:pStyle w:val="7"/>
        <w:keepNext w:val="0"/>
        <w:keepLines w:val="0"/>
        <w:widowControl/>
        <w:suppressLineNumbers w:val="0"/>
        <w:shd w:val="clear" w:fill="FFFFFF"/>
        <w:spacing w:before="0" w:beforeAutospacing="0" w:after="240" w:afterAutospacing="0" w:line="240" w:lineRule="auto"/>
        <w:ind w:left="0" w:right="0" w:firstLine="0"/>
        <w:jc w:val="center"/>
        <w:rPr>
          <w:rFonts w:hint="eastAsia" w:asciiTheme="minorEastAsia" w:hAnsiTheme="minorEastAsia" w:eastAsiaTheme="minorEastAsia" w:cstheme="minorEastAsia"/>
          <w:i w:val="0"/>
          <w:caps w:val="0"/>
          <w:color w:val="333333"/>
          <w:spacing w:val="8"/>
          <w:sz w:val="28"/>
          <w:szCs w:val="28"/>
        </w:rPr>
      </w:pPr>
      <w:r>
        <w:rPr>
          <w:rFonts w:hint="eastAsia" w:asciiTheme="minorEastAsia" w:hAnsiTheme="minorEastAsia" w:eastAsiaTheme="minorEastAsia" w:cstheme="minorEastAsia"/>
          <w:i w:val="0"/>
          <w:caps w:val="0"/>
          <w:color w:val="333333"/>
          <w:spacing w:val="8"/>
          <w:sz w:val="28"/>
          <w:szCs w:val="28"/>
          <w:shd w:val="clear" w:fill="FFFFFF"/>
        </w:rPr>
        <w:t>吉政办发〔2019〕23号</w:t>
      </w:r>
    </w:p>
    <w:p>
      <w:pPr>
        <w:pStyle w:val="7"/>
        <w:keepNext w:val="0"/>
        <w:keepLines w:val="0"/>
        <w:widowControl/>
        <w:suppressLineNumbers w:val="0"/>
        <w:shd w:val="clear" w:fill="FFFFFF"/>
        <w:spacing w:before="0" w:beforeAutospacing="0" w:after="240" w:afterAutospacing="0" w:line="240" w:lineRule="auto"/>
        <w:ind w:left="0" w:right="0" w:firstLine="0"/>
        <w:rPr>
          <w:rFonts w:hint="eastAsia" w:asciiTheme="minorEastAsia" w:hAnsiTheme="minorEastAsia" w:eastAsiaTheme="minorEastAsia" w:cstheme="minorEastAsia"/>
          <w:i w:val="0"/>
          <w:caps w:val="0"/>
          <w:color w:val="333333"/>
          <w:spacing w:val="8"/>
          <w:sz w:val="28"/>
          <w:szCs w:val="28"/>
        </w:rPr>
      </w:pPr>
      <w:r>
        <w:rPr>
          <w:rFonts w:hint="eastAsia" w:asciiTheme="minorEastAsia" w:hAnsiTheme="minorEastAsia" w:eastAsiaTheme="minorEastAsia" w:cstheme="minorEastAsia"/>
          <w:i w:val="0"/>
          <w:caps w:val="0"/>
          <w:color w:val="333333"/>
          <w:spacing w:val="8"/>
          <w:sz w:val="28"/>
          <w:szCs w:val="28"/>
          <w:shd w:val="clear" w:fill="FFFFFF"/>
        </w:rPr>
        <w:t>各市(州)人民政府,长白山管委会,长春新区管委会,各县(市)人民政府,省政府各厅委办、各直属机构:</w:t>
      </w:r>
    </w:p>
    <w:p>
      <w:pPr>
        <w:pStyle w:val="7"/>
        <w:keepNext w:val="0"/>
        <w:keepLines w:val="0"/>
        <w:widowControl/>
        <w:suppressLineNumbers w:val="0"/>
        <w:shd w:val="clear" w:fill="FFFFFF"/>
        <w:spacing w:before="0" w:beforeAutospacing="0" w:after="240" w:afterAutospacing="0" w:line="240" w:lineRule="auto"/>
        <w:ind w:left="0" w:right="0" w:firstLine="592" w:firstLineChars="200"/>
        <w:rPr>
          <w:rFonts w:hint="eastAsia" w:asciiTheme="minorEastAsia" w:hAnsiTheme="minorEastAsia" w:eastAsiaTheme="minorEastAsia" w:cstheme="minorEastAsia"/>
          <w:i w:val="0"/>
          <w:caps w:val="0"/>
          <w:color w:val="333333"/>
          <w:spacing w:val="8"/>
          <w:sz w:val="28"/>
          <w:szCs w:val="28"/>
        </w:rPr>
      </w:pPr>
      <w:r>
        <w:rPr>
          <w:rFonts w:hint="eastAsia" w:asciiTheme="minorEastAsia" w:hAnsiTheme="minorEastAsia" w:eastAsiaTheme="minorEastAsia" w:cstheme="minorEastAsia"/>
          <w:i w:val="0"/>
          <w:caps w:val="0"/>
          <w:color w:val="333333"/>
          <w:spacing w:val="8"/>
          <w:sz w:val="28"/>
          <w:szCs w:val="28"/>
          <w:shd w:val="clear" w:fill="FFFFFF"/>
        </w:rPr>
        <w:t>《吉林省城镇小区配套幼儿园专项治理工作方案》已经省政府同意,现印发给你们,请结合实际,认真贯彻落实。</w:t>
      </w:r>
    </w:p>
    <w:p>
      <w:pPr>
        <w:pStyle w:val="7"/>
        <w:keepNext w:val="0"/>
        <w:keepLines w:val="0"/>
        <w:widowControl/>
        <w:suppressLineNumbers w:val="0"/>
        <w:shd w:val="clear" w:fill="FFFFFF"/>
        <w:spacing w:before="0" w:beforeAutospacing="0" w:after="240" w:afterAutospacing="0" w:line="240" w:lineRule="auto"/>
        <w:ind w:left="0" w:right="0" w:firstLine="0"/>
        <w:jc w:val="right"/>
        <w:rPr>
          <w:rFonts w:hint="eastAsia" w:asciiTheme="minorEastAsia" w:hAnsiTheme="minorEastAsia" w:eastAsiaTheme="minorEastAsia" w:cstheme="minorEastAsia"/>
          <w:i w:val="0"/>
          <w:caps w:val="0"/>
          <w:color w:val="333333"/>
          <w:spacing w:val="8"/>
          <w:sz w:val="28"/>
          <w:szCs w:val="28"/>
        </w:rPr>
      </w:pPr>
      <w:r>
        <w:rPr>
          <w:rFonts w:hint="eastAsia" w:asciiTheme="minorEastAsia" w:hAnsiTheme="minorEastAsia" w:eastAsiaTheme="minorEastAsia" w:cstheme="minorEastAsia"/>
          <w:i w:val="0"/>
          <w:caps w:val="0"/>
          <w:color w:val="333333"/>
          <w:spacing w:val="8"/>
          <w:sz w:val="28"/>
          <w:szCs w:val="28"/>
          <w:shd w:val="clear" w:fill="FFFFFF"/>
        </w:rPr>
        <w:t>吉林省人民政府办公厅</w:t>
      </w:r>
    </w:p>
    <w:p>
      <w:pPr>
        <w:pStyle w:val="7"/>
        <w:keepNext w:val="0"/>
        <w:keepLines w:val="0"/>
        <w:widowControl/>
        <w:suppressLineNumbers w:val="0"/>
        <w:shd w:val="clear" w:fill="FFFFFF"/>
        <w:spacing w:before="0" w:beforeAutospacing="0" w:after="240" w:afterAutospacing="0" w:line="240" w:lineRule="auto"/>
        <w:ind w:left="0" w:right="0" w:firstLine="0"/>
        <w:jc w:val="right"/>
        <w:rPr>
          <w:rFonts w:hint="eastAsia" w:asciiTheme="minorEastAsia" w:hAnsiTheme="minorEastAsia" w:eastAsiaTheme="minorEastAsia" w:cstheme="minorEastAsia"/>
          <w:i w:val="0"/>
          <w:caps w:val="0"/>
          <w:color w:val="333333"/>
          <w:spacing w:val="8"/>
          <w:sz w:val="28"/>
          <w:szCs w:val="28"/>
        </w:rPr>
      </w:pPr>
      <w:r>
        <w:rPr>
          <w:rFonts w:hint="eastAsia" w:asciiTheme="minorEastAsia" w:hAnsiTheme="minorEastAsia" w:eastAsiaTheme="minorEastAsia" w:cstheme="minorEastAsia"/>
          <w:i w:val="0"/>
          <w:caps w:val="0"/>
          <w:color w:val="333333"/>
          <w:spacing w:val="8"/>
          <w:sz w:val="28"/>
          <w:szCs w:val="28"/>
          <w:shd w:val="clear" w:fill="FFFFFF"/>
        </w:rPr>
        <w:t>2019年4月12日</w:t>
      </w:r>
    </w:p>
    <w:p>
      <w:pPr>
        <w:pStyle w:val="7"/>
        <w:keepNext w:val="0"/>
        <w:keepLines w:val="0"/>
        <w:widowControl/>
        <w:suppressLineNumbers w:val="0"/>
        <w:shd w:val="clear" w:fill="FFFFFF"/>
        <w:spacing w:before="0" w:beforeAutospacing="0" w:after="240" w:afterAutospacing="0" w:line="240" w:lineRule="auto"/>
        <w:ind w:left="0" w:right="0" w:firstLine="0"/>
        <w:jc w:val="center"/>
        <w:rPr>
          <w:rFonts w:hint="eastAsia" w:asciiTheme="minorEastAsia" w:hAnsiTheme="minorEastAsia" w:eastAsiaTheme="minorEastAsia" w:cstheme="minorEastAsia"/>
          <w:i w:val="0"/>
          <w:caps w:val="0"/>
          <w:color w:val="333333"/>
          <w:spacing w:val="8"/>
          <w:sz w:val="28"/>
          <w:szCs w:val="28"/>
        </w:rPr>
      </w:pPr>
      <w:r>
        <w:rPr>
          <w:rStyle w:val="11"/>
          <w:rFonts w:hint="eastAsia" w:asciiTheme="minorEastAsia" w:hAnsiTheme="minorEastAsia" w:eastAsiaTheme="minorEastAsia" w:cstheme="minorEastAsia"/>
          <w:i w:val="0"/>
          <w:caps w:val="0"/>
          <w:color w:val="333333"/>
          <w:spacing w:val="8"/>
          <w:sz w:val="28"/>
          <w:szCs w:val="28"/>
          <w:shd w:val="clear" w:fill="FFFFFF"/>
        </w:rPr>
        <w:t>吉林省城镇小区配套幼儿园专项治理工作方案</w:t>
      </w:r>
    </w:p>
    <w:p>
      <w:pPr>
        <w:pStyle w:val="7"/>
        <w:keepNext w:val="0"/>
        <w:keepLines w:val="0"/>
        <w:widowControl/>
        <w:suppressLineNumbers w:val="0"/>
        <w:shd w:val="clear" w:fill="FFFFFF"/>
        <w:spacing w:before="0" w:beforeAutospacing="0" w:after="240" w:afterAutospacing="0" w:line="240" w:lineRule="auto"/>
        <w:ind w:left="0" w:right="0" w:firstLine="592" w:firstLineChars="200"/>
        <w:rPr>
          <w:rFonts w:hint="eastAsia" w:asciiTheme="minorEastAsia" w:hAnsiTheme="minorEastAsia" w:eastAsiaTheme="minorEastAsia" w:cstheme="minorEastAsia"/>
          <w:i w:val="0"/>
          <w:caps w:val="0"/>
          <w:color w:val="333333"/>
          <w:spacing w:val="8"/>
          <w:sz w:val="28"/>
          <w:szCs w:val="28"/>
        </w:rPr>
      </w:pPr>
      <w:r>
        <w:rPr>
          <w:rFonts w:hint="eastAsia" w:asciiTheme="minorEastAsia" w:hAnsiTheme="minorEastAsia" w:eastAsiaTheme="minorEastAsia" w:cstheme="minorEastAsia"/>
          <w:i w:val="0"/>
          <w:caps w:val="0"/>
          <w:color w:val="333333"/>
          <w:spacing w:val="8"/>
          <w:sz w:val="28"/>
          <w:szCs w:val="28"/>
          <w:shd w:val="clear" w:fill="FFFFFF"/>
        </w:rPr>
        <w:t>为深入贯彻落实《中共中央国务院关于学前教育深化改革规范发展的若干意见》(中发〔2018〕39号)精神,根据《国务院办公厅关于开展城镇小区配套幼儿园治理工作的通知》(国办发〔2019〕3号)要求,紧密结合我省实际情况,自2019年3月起至2020年12月底,在全省范围内集中开展城镇小区配套幼儿园治理工作。</w:t>
      </w:r>
    </w:p>
    <w:p>
      <w:pPr>
        <w:pStyle w:val="7"/>
        <w:keepNext w:val="0"/>
        <w:keepLines w:val="0"/>
        <w:widowControl/>
        <w:suppressLineNumbers w:val="0"/>
        <w:shd w:val="clear" w:fill="FFFFFF"/>
        <w:spacing w:before="0" w:beforeAutospacing="0" w:after="240" w:afterAutospacing="0" w:line="240" w:lineRule="auto"/>
        <w:ind w:left="0" w:right="0" w:firstLine="0"/>
        <w:rPr>
          <w:rFonts w:hint="eastAsia" w:asciiTheme="minorEastAsia" w:hAnsiTheme="minorEastAsia" w:eastAsiaTheme="minorEastAsia" w:cstheme="minorEastAsia"/>
          <w:i w:val="0"/>
          <w:caps w:val="0"/>
          <w:color w:val="333333"/>
          <w:spacing w:val="8"/>
          <w:sz w:val="28"/>
          <w:szCs w:val="28"/>
        </w:rPr>
      </w:pPr>
      <w:r>
        <w:rPr>
          <w:rStyle w:val="11"/>
          <w:rFonts w:hint="eastAsia" w:asciiTheme="minorEastAsia" w:hAnsiTheme="minorEastAsia" w:eastAsiaTheme="minorEastAsia" w:cstheme="minorEastAsia"/>
          <w:i w:val="0"/>
          <w:caps w:val="0"/>
          <w:color w:val="333333"/>
          <w:spacing w:val="8"/>
          <w:sz w:val="28"/>
          <w:szCs w:val="28"/>
          <w:shd w:val="clear" w:fill="FFFFFF"/>
        </w:rPr>
        <w:t>一、总体要求</w:t>
      </w:r>
    </w:p>
    <w:p>
      <w:pPr>
        <w:pStyle w:val="7"/>
        <w:keepNext w:val="0"/>
        <w:keepLines w:val="0"/>
        <w:widowControl/>
        <w:suppressLineNumbers w:val="0"/>
        <w:shd w:val="clear" w:fill="FFFFFF"/>
        <w:spacing w:before="0" w:beforeAutospacing="0" w:after="240" w:afterAutospacing="0" w:line="240" w:lineRule="auto"/>
        <w:ind w:left="0" w:right="0" w:firstLine="592" w:firstLineChars="200"/>
        <w:rPr>
          <w:rFonts w:hint="eastAsia" w:asciiTheme="minorEastAsia" w:hAnsiTheme="minorEastAsia" w:eastAsiaTheme="minorEastAsia" w:cstheme="minorEastAsia"/>
          <w:i w:val="0"/>
          <w:caps w:val="0"/>
          <w:color w:val="333333"/>
          <w:spacing w:val="8"/>
          <w:sz w:val="28"/>
          <w:szCs w:val="28"/>
        </w:rPr>
      </w:pPr>
      <w:r>
        <w:rPr>
          <w:rFonts w:hint="eastAsia" w:asciiTheme="minorEastAsia" w:hAnsiTheme="minorEastAsia" w:eastAsiaTheme="minorEastAsia" w:cstheme="minorEastAsia"/>
          <w:i w:val="0"/>
          <w:caps w:val="0"/>
          <w:color w:val="333333"/>
          <w:spacing w:val="8"/>
          <w:sz w:val="28"/>
          <w:szCs w:val="28"/>
          <w:shd w:val="clear" w:fill="FFFFFF"/>
        </w:rPr>
        <w:t>认真履行政府职责,将城镇小区配套幼儿园建设作为城镇公共服务设施建设的重要内容,作为扩大城镇普惠性学前教育资源的重要途径,作为保障和改善民生的重大举措,坚持公益普惠、政府主导、改革创新、规范管理的原则,聚焦小区配套幼儿园规划、建设、移交、办园等环节存在的突出问题开展治理,进一步提高学前教育公益普惠水平,更好满足人民群众对幼有所育的期盼。</w:t>
      </w:r>
    </w:p>
    <w:p>
      <w:pPr>
        <w:pStyle w:val="7"/>
        <w:keepNext w:val="0"/>
        <w:keepLines w:val="0"/>
        <w:widowControl/>
        <w:suppressLineNumbers w:val="0"/>
        <w:shd w:val="clear" w:fill="FFFFFF"/>
        <w:spacing w:before="0" w:beforeAutospacing="0" w:after="240" w:afterAutospacing="0" w:line="240" w:lineRule="auto"/>
        <w:ind w:left="0" w:right="0" w:firstLine="0"/>
        <w:rPr>
          <w:rFonts w:hint="eastAsia" w:asciiTheme="minorEastAsia" w:hAnsiTheme="minorEastAsia" w:eastAsiaTheme="minorEastAsia" w:cstheme="minorEastAsia"/>
          <w:i w:val="0"/>
          <w:caps w:val="0"/>
          <w:color w:val="333333"/>
          <w:spacing w:val="8"/>
          <w:sz w:val="28"/>
          <w:szCs w:val="28"/>
        </w:rPr>
      </w:pPr>
      <w:r>
        <w:rPr>
          <w:rStyle w:val="11"/>
          <w:rFonts w:hint="eastAsia" w:asciiTheme="minorEastAsia" w:hAnsiTheme="minorEastAsia" w:eastAsiaTheme="minorEastAsia" w:cstheme="minorEastAsia"/>
          <w:i w:val="0"/>
          <w:caps w:val="0"/>
          <w:color w:val="333333"/>
          <w:spacing w:val="8"/>
          <w:sz w:val="28"/>
          <w:szCs w:val="28"/>
          <w:shd w:val="clear" w:fill="FFFFFF"/>
        </w:rPr>
        <w:t>二、工作目标和任务</w:t>
      </w:r>
    </w:p>
    <w:p>
      <w:pPr>
        <w:pStyle w:val="7"/>
        <w:keepNext w:val="0"/>
        <w:keepLines w:val="0"/>
        <w:widowControl/>
        <w:suppressLineNumbers w:val="0"/>
        <w:shd w:val="clear" w:fill="FFFFFF"/>
        <w:spacing w:before="0" w:beforeAutospacing="0" w:after="240" w:afterAutospacing="0" w:line="240" w:lineRule="auto"/>
        <w:ind w:left="0" w:right="0" w:firstLine="0"/>
        <w:rPr>
          <w:rFonts w:hint="eastAsia" w:asciiTheme="minorEastAsia" w:hAnsiTheme="minorEastAsia" w:eastAsiaTheme="minorEastAsia" w:cstheme="minorEastAsia"/>
          <w:i w:val="0"/>
          <w:caps w:val="0"/>
          <w:color w:val="333333"/>
          <w:spacing w:val="8"/>
          <w:sz w:val="28"/>
          <w:szCs w:val="28"/>
        </w:rPr>
      </w:pPr>
      <w:r>
        <w:rPr>
          <w:rFonts w:hint="eastAsia" w:asciiTheme="minorEastAsia" w:hAnsiTheme="minorEastAsia" w:eastAsiaTheme="minorEastAsia" w:cstheme="minorEastAsia"/>
          <w:i w:val="0"/>
          <w:caps w:val="0"/>
          <w:color w:val="333333"/>
          <w:spacing w:val="8"/>
          <w:sz w:val="28"/>
          <w:szCs w:val="28"/>
          <w:shd w:val="clear" w:fill="FFFFFF"/>
        </w:rPr>
        <w:t>(一)工作目标。到2020年底前,完成全省城镇小区配套幼儿园规划、建设、移交、办园等环节的专项治理工作,城镇小区配套幼儿园办成公办园或委托办成普惠性民办园,适龄儿童就近入园接受良好学前教育的需求得到更好保障。</w:t>
      </w:r>
    </w:p>
    <w:p>
      <w:pPr>
        <w:pStyle w:val="7"/>
        <w:keepNext w:val="0"/>
        <w:keepLines w:val="0"/>
        <w:widowControl/>
        <w:suppressLineNumbers w:val="0"/>
        <w:shd w:val="clear" w:fill="FFFFFF"/>
        <w:spacing w:before="0" w:beforeAutospacing="0" w:after="240" w:afterAutospacing="0" w:line="240" w:lineRule="auto"/>
        <w:ind w:left="0" w:right="0" w:firstLine="0"/>
        <w:rPr>
          <w:rFonts w:hint="eastAsia" w:asciiTheme="minorEastAsia" w:hAnsiTheme="minorEastAsia" w:eastAsiaTheme="minorEastAsia" w:cstheme="minorEastAsia"/>
          <w:i w:val="0"/>
          <w:caps w:val="0"/>
          <w:color w:val="333333"/>
          <w:spacing w:val="8"/>
          <w:sz w:val="28"/>
          <w:szCs w:val="28"/>
        </w:rPr>
      </w:pPr>
      <w:r>
        <w:rPr>
          <w:rFonts w:hint="eastAsia" w:asciiTheme="minorEastAsia" w:hAnsiTheme="minorEastAsia" w:eastAsiaTheme="minorEastAsia" w:cstheme="minorEastAsia"/>
          <w:i w:val="0"/>
          <w:caps w:val="0"/>
          <w:color w:val="333333"/>
          <w:spacing w:val="8"/>
          <w:sz w:val="28"/>
          <w:szCs w:val="28"/>
          <w:shd w:val="clear" w:fill="FFFFFF"/>
        </w:rPr>
        <w:t>(二)工作任务。</w:t>
      </w:r>
    </w:p>
    <w:p>
      <w:pPr>
        <w:pStyle w:val="7"/>
        <w:keepNext w:val="0"/>
        <w:keepLines w:val="0"/>
        <w:widowControl/>
        <w:suppressLineNumbers w:val="0"/>
        <w:shd w:val="clear" w:fill="FFFFFF"/>
        <w:spacing w:before="0" w:beforeAutospacing="0" w:after="240" w:afterAutospacing="0" w:line="240" w:lineRule="auto"/>
        <w:ind w:left="0" w:right="0" w:firstLine="0"/>
        <w:rPr>
          <w:rFonts w:hint="eastAsia" w:asciiTheme="minorEastAsia" w:hAnsiTheme="minorEastAsia" w:eastAsiaTheme="minorEastAsia" w:cstheme="minorEastAsia"/>
          <w:i w:val="0"/>
          <w:caps w:val="0"/>
          <w:color w:val="333333"/>
          <w:spacing w:val="8"/>
          <w:sz w:val="28"/>
          <w:szCs w:val="28"/>
        </w:rPr>
      </w:pPr>
      <w:r>
        <w:rPr>
          <w:rFonts w:hint="eastAsia" w:asciiTheme="minorEastAsia" w:hAnsiTheme="minorEastAsia" w:eastAsiaTheme="minorEastAsia" w:cstheme="minorEastAsia"/>
          <w:i w:val="0"/>
          <w:caps w:val="0"/>
          <w:color w:val="333333"/>
          <w:spacing w:val="8"/>
          <w:sz w:val="28"/>
          <w:szCs w:val="28"/>
          <w:shd w:val="clear" w:fill="FFFFFF"/>
        </w:rPr>
        <w:t>1.城镇小区严格依标配建幼儿园。城镇小区配套幼儿园作为重要的公共教育资源,其规划建设与整改应纳入城镇公共设施建设规划,保证幼儿园的规模和数量与城市发展和人口增长相适应。各地要按照《国务院关于当前发展学前教育的若干意见》(国发〔2010〕41号)和《吉林省人民政府关于加快学前教育改革和发展的意见》(吉政发〔2011〕13号)要求,严格落实《吉林省学前教育条例》,严格执行省教育厅等六部门《关于加强城镇新建居住区和旧区改造配套幼儿园建设及管理的指导意见》(吉教联字〔2016〕53号),严格遵循《中华人民共和国城乡规划法》和《城市居住区规划设计标准》(GB50180),老城区(棚户区)改造、新城开发和居住区建设、易地扶贫搬迁应将配套建设幼儿园纳入公共管理和公共服务设施建设规划,并按照相关标准和规范予以建设,确保配套幼儿园与首期建设的居民住宅区同步规划、同步设计、同步建设、同步验收、同步交付使用。城镇小区没有规划配套幼儿园或规划不足,或者有完整规划但建设不到位的,要依据国家和省配建标准,通过补建、改建或就近新建、置换、购置等方式予以解决。对存在配套幼儿园缓建、缩建、停建、不建和建而不交等问题的,在整改到位之前,不得办理竣工验收。(各市〔州〕、县〔市、区〕政府,省自然资源厅、省住房城乡建设厅、省教育厅、省发展改革委、省财政厅、各级机构编制管理部门等按职责分工分别负责)</w:t>
      </w:r>
    </w:p>
    <w:p>
      <w:pPr>
        <w:pStyle w:val="7"/>
        <w:keepNext w:val="0"/>
        <w:keepLines w:val="0"/>
        <w:widowControl/>
        <w:suppressLineNumbers w:val="0"/>
        <w:shd w:val="clear" w:fill="FFFFFF"/>
        <w:spacing w:before="0" w:beforeAutospacing="0" w:after="240" w:afterAutospacing="0" w:line="240" w:lineRule="auto"/>
        <w:ind w:left="0" w:right="0" w:firstLine="0"/>
        <w:rPr>
          <w:rFonts w:hint="eastAsia" w:asciiTheme="minorEastAsia" w:hAnsiTheme="minorEastAsia" w:eastAsiaTheme="minorEastAsia" w:cstheme="minorEastAsia"/>
          <w:i w:val="0"/>
          <w:caps w:val="0"/>
          <w:color w:val="333333"/>
          <w:spacing w:val="8"/>
          <w:sz w:val="28"/>
          <w:szCs w:val="28"/>
        </w:rPr>
      </w:pPr>
      <w:r>
        <w:rPr>
          <w:rFonts w:hint="eastAsia" w:asciiTheme="minorEastAsia" w:hAnsiTheme="minorEastAsia" w:eastAsiaTheme="minorEastAsia" w:cstheme="minorEastAsia"/>
          <w:i w:val="0"/>
          <w:caps w:val="0"/>
          <w:color w:val="333333"/>
          <w:spacing w:val="8"/>
          <w:sz w:val="28"/>
          <w:szCs w:val="28"/>
          <w:shd w:val="clear" w:fill="FFFFFF"/>
        </w:rPr>
        <w:t>2.确保小区配套幼儿园如期移交。已建成的小区配套幼儿园应按照规定及时移交县(市、区)教育行政部门,未移交的应限期完成移交,对已挪作他用的要积极稳妥采取有效措施予以收回。有关部门要按规定对移交的幼儿园办理土地、园舍移交及资产登记手续。(各市〔州〕、县〔市、区〕政府,省住房城乡建设厅、省教育厅、省自然资源厅、省财政厅、各级机构编制管理部门等按职责分工分别负责)</w:t>
      </w:r>
    </w:p>
    <w:p>
      <w:pPr>
        <w:pStyle w:val="7"/>
        <w:keepNext w:val="0"/>
        <w:keepLines w:val="0"/>
        <w:widowControl/>
        <w:suppressLineNumbers w:val="0"/>
        <w:shd w:val="clear" w:fill="FFFFFF"/>
        <w:spacing w:before="0" w:beforeAutospacing="0" w:after="240" w:afterAutospacing="0" w:line="240" w:lineRule="auto"/>
        <w:ind w:left="0" w:right="0" w:firstLine="0"/>
        <w:rPr>
          <w:rFonts w:hint="eastAsia" w:asciiTheme="minorEastAsia" w:hAnsiTheme="minorEastAsia" w:eastAsiaTheme="minorEastAsia" w:cstheme="minorEastAsia"/>
          <w:i w:val="0"/>
          <w:caps w:val="0"/>
          <w:color w:val="333333"/>
          <w:spacing w:val="8"/>
          <w:sz w:val="28"/>
          <w:szCs w:val="28"/>
        </w:rPr>
      </w:pPr>
      <w:r>
        <w:rPr>
          <w:rFonts w:hint="eastAsia" w:asciiTheme="minorEastAsia" w:hAnsiTheme="minorEastAsia" w:eastAsiaTheme="minorEastAsia" w:cstheme="minorEastAsia"/>
          <w:i w:val="0"/>
          <w:caps w:val="0"/>
          <w:color w:val="333333"/>
          <w:spacing w:val="8"/>
          <w:sz w:val="28"/>
          <w:szCs w:val="28"/>
          <w:shd w:val="clear" w:fill="FFFFFF"/>
        </w:rPr>
        <w:t>3.规范小区配套幼儿园使用。小区配套幼儿园移交县(市、区)教育行政部门后,应当由教育行政部门办成公办园或委托办成普惠性民办园,不得办成营利性幼儿园。办成公办园的,所在县(市、区)政府及有关部门要做好机构编制、教师配备等方面的工作,严格执行有关公办园收费政策,按等级标准收费,严格收费行为。委托办成普惠性民办园的,要做好对相关机构资质、管理能力、卫生安全及保教质量等方面的审核,落实对普惠性民办园的奖补政策,规范管理,不断提高幼儿园的保教质量和办园水平。</w:t>
      </w:r>
    </w:p>
    <w:p>
      <w:pPr>
        <w:pStyle w:val="7"/>
        <w:keepNext w:val="0"/>
        <w:keepLines w:val="0"/>
        <w:widowControl/>
        <w:suppressLineNumbers w:val="0"/>
        <w:shd w:val="clear" w:fill="FFFFFF"/>
        <w:spacing w:before="0" w:beforeAutospacing="0" w:after="240" w:afterAutospacing="0" w:line="240" w:lineRule="auto"/>
        <w:ind w:left="0" w:right="0" w:firstLine="0"/>
        <w:rPr>
          <w:rFonts w:hint="eastAsia" w:asciiTheme="minorEastAsia" w:hAnsiTheme="minorEastAsia" w:eastAsiaTheme="minorEastAsia" w:cstheme="minorEastAsia"/>
          <w:i w:val="0"/>
          <w:caps w:val="0"/>
          <w:color w:val="333333"/>
          <w:spacing w:val="8"/>
          <w:sz w:val="28"/>
          <w:szCs w:val="28"/>
        </w:rPr>
      </w:pPr>
      <w:r>
        <w:rPr>
          <w:rFonts w:hint="eastAsia" w:asciiTheme="minorEastAsia" w:hAnsiTheme="minorEastAsia" w:eastAsiaTheme="minorEastAsia" w:cstheme="minorEastAsia"/>
          <w:i w:val="0"/>
          <w:caps w:val="0"/>
          <w:color w:val="333333"/>
          <w:spacing w:val="8"/>
          <w:sz w:val="28"/>
          <w:szCs w:val="28"/>
          <w:shd w:val="clear" w:fill="FFFFFF"/>
        </w:rPr>
        <w:t>(各市〔州〕、县〔市、区〕政府,省教育厅、省财政厅、省发展改革委、省民政厅、各级机构编制管理部门等按职责分工分别负责)</w:t>
      </w:r>
    </w:p>
    <w:p>
      <w:pPr>
        <w:pStyle w:val="7"/>
        <w:keepNext w:val="0"/>
        <w:keepLines w:val="0"/>
        <w:widowControl/>
        <w:suppressLineNumbers w:val="0"/>
        <w:shd w:val="clear" w:fill="FFFFFF"/>
        <w:spacing w:before="0" w:beforeAutospacing="0" w:after="240" w:afterAutospacing="0" w:line="240" w:lineRule="auto"/>
        <w:ind w:left="0" w:right="0" w:firstLine="0"/>
        <w:rPr>
          <w:rFonts w:hint="eastAsia" w:asciiTheme="minorEastAsia" w:hAnsiTheme="minorEastAsia" w:eastAsiaTheme="minorEastAsia" w:cstheme="minorEastAsia"/>
          <w:i w:val="0"/>
          <w:caps w:val="0"/>
          <w:color w:val="333333"/>
          <w:spacing w:val="8"/>
          <w:sz w:val="28"/>
          <w:szCs w:val="28"/>
        </w:rPr>
      </w:pPr>
      <w:r>
        <w:rPr>
          <w:rStyle w:val="11"/>
          <w:rFonts w:hint="eastAsia" w:asciiTheme="minorEastAsia" w:hAnsiTheme="minorEastAsia" w:eastAsiaTheme="minorEastAsia" w:cstheme="minorEastAsia"/>
          <w:i w:val="0"/>
          <w:caps w:val="0"/>
          <w:color w:val="333333"/>
          <w:spacing w:val="8"/>
          <w:sz w:val="28"/>
          <w:szCs w:val="28"/>
          <w:shd w:val="clear" w:fill="FFFFFF"/>
        </w:rPr>
        <w:t>三、工作步骤</w:t>
      </w:r>
    </w:p>
    <w:p>
      <w:pPr>
        <w:pStyle w:val="7"/>
        <w:keepNext w:val="0"/>
        <w:keepLines w:val="0"/>
        <w:widowControl/>
        <w:suppressLineNumbers w:val="0"/>
        <w:shd w:val="clear" w:fill="FFFFFF"/>
        <w:spacing w:before="0" w:beforeAutospacing="0" w:after="240" w:afterAutospacing="0" w:line="240" w:lineRule="auto"/>
        <w:ind w:left="0" w:right="0" w:firstLine="0"/>
        <w:rPr>
          <w:rFonts w:hint="eastAsia" w:asciiTheme="minorEastAsia" w:hAnsiTheme="minorEastAsia" w:eastAsiaTheme="minorEastAsia" w:cstheme="minorEastAsia"/>
          <w:i w:val="0"/>
          <w:caps w:val="0"/>
          <w:color w:val="333333"/>
          <w:spacing w:val="8"/>
          <w:sz w:val="28"/>
          <w:szCs w:val="28"/>
        </w:rPr>
      </w:pPr>
      <w:r>
        <w:rPr>
          <w:rFonts w:hint="eastAsia" w:asciiTheme="minorEastAsia" w:hAnsiTheme="minorEastAsia" w:eastAsiaTheme="minorEastAsia" w:cstheme="minorEastAsia"/>
          <w:i w:val="0"/>
          <w:caps w:val="0"/>
          <w:color w:val="333333"/>
          <w:spacing w:val="8"/>
          <w:sz w:val="28"/>
          <w:szCs w:val="28"/>
          <w:shd w:val="clear" w:fill="FFFFFF"/>
        </w:rPr>
        <w:t>(一)摸底排查。以县(市、区)为单位,对城镇小区配套幼儿园情况进行全面摸底排查,针对规划、配建、移交、使用不到位等情况,分别列出清单、建立台账。该项工作于2019年4月20日前完成,报送市(州)汇总后,于4月30日前将汇总后的清单经市(州)治理工作小组组长签字并加盖市(州)政府公章后,以市(州)治理工作小组办公室名义报送省治理工作小组联合办公室。(各市〔州〕、县〔市、区〕政府负责)</w:t>
      </w:r>
    </w:p>
    <w:p>
      <w:pPr>
        <w:pStyle w:val="7"/>
        <w:keepNext w:val="0"/>
        <w:keepLines w:val="0"/>
        <w:widowControl/>
        <w:suppressLineNumbers w:val="0"/>
        <w:shd w:val="clear" w:fill="FFFFFF"/>
        <w:spacing w:before="0" w:beforeAutospacing="0" w:after="240" w:afterAutospacing="0" w:line="240" w:lineRule="auto"/>
        <w:ind w:left="0" w:right="0" w:firstLine="0"/>
        <w:rPr>
          <w:rFonts w:hint="eastAsia" w:asciiTheme="minorEastAsia" w:hAnsiTheme="minorEastAsia" w:eastAsiaTheme="minorEastAsia" w:cstheme="minorEastAsia"/>
          <w:i w:val="0"/>
          <w:caps w:val="0"/>
          <w:color w:val="333333"/>
          <w:spacing w:val="8"/>
          <w:sz w:val="28"/>
          <w:szCs w:val="28"/>
        </w:rPr>
      </w:pPr>
      <w:r>
        <w:rPr>
          <w:rFonts w:hint="eastAsia" w:asciiTheme="minorEastAsia" w:hAnsiTheme="minorEastAsia" w:eastAsiaTheme="minorEastAsia" w:cstheme="minorEastAsia"/>
          <w:i w:val="0"/>
          <w:caps w:val="0"/>
          <w:color w:val="333333"/>
          <w:spacing w:val="8"/>
          <w:sz w:val="28"/>
          <w:szCs w:val="28"/>
          <w:shd w:val="clear" w:fill="FFFFFF"/>
        </w:rPr>
        <w:t>(二)全面整改。各市(州)、县(市、区)针对摸底排查出的问题,要从实际出发,认真制定有针对性的整改措施,按照“一事一议”“一园一案”的要求逐一进行整改。</w:t>
      </w:r>
    </w:p>
    <w:p>
      <w:pPr>
        <w:pStyle w:val="7"/>
        <w:keepNext w:val="0"/>
        <w:keepLines w:val="0"/>
        <w:widowControl/>
        <w:suppressLineNumbers w:val="0"/>
        <w:shd w:val="clear" w:fill="FFFFFF"/>
        <w:spacing w:before="0" w:beforeAutospacing="0" w:after="240" w:afterAutospacing="0" w:line="240" w:lineRule="auto"/>
        <w:ind w:left="0" w:right="0" w:firstLine="0"/>
        <w:rPr>
          <w:rFonts w:hint="eastAsia" w:asciiTheme="minorEastAsia" w:hAnsiTheme="minorEastAsia" w:eastAsiaTheme="minorEastAsia" w:cstheme="minorEastAsia"/>
          <w:i w:val="0"/>
          <w:caps w:val="0"/>
          <w:color w:val="333333"/>
          <w:spacing w:val="8"/>
          <w:sz w:val="28"/>
          <w:szCs w:val="28"/>
        </w:rPr>
      </w:pPr>
      <w:r>
        <w:rPr>
          <w:rFonts w:hint="eastAsia" w:asciiTheme="minorEastAsia" w:hAnsiTheme="minorEastAsia" w:eastAsiaTheme="minorEastAsia" w:cstheme="minorEastAsia"/>
          <w:i w:val="0"/>
          <w:caps w:val="0"/>
          <w:color w:val="333333"/>
          <w:spacing w:val="8"/>
          <w:sz w:val="28"/>
          <w:szCs w:val="28"/>
          <w:shd w:val="clear" w:fill="FFFFFF"/>
        </w:rPr>
        <w:t>1.对于已经建成、需要办理移交手续的,于2019年6月20日前完成。工作情况报送市(州)汇总后,于6月30日前经市(州)治理工作小组组长签字并加盖市(州)政府公章后,以市(州)治理工作小组办公室名义报送省治理工作小组联合办公室。(各市〔州〕、县〔市、区〕政府负责)</w:t>
      </w:r>
    </w:p>
    <w:p>
      <w:pPr>
        <w:pStyle w:val="7"/>
        <w:keepNext w:val="0"/>
        <w:keepLines w:val="0"/>
        <w:widowControl/>
        <w:suppressLineNumbers w:val="0"/>
        <w:shd w:val="clear" w:fill="FFFFFF"/>
        <w:spacing w:before="0" w:beforeAutospacing="0" w:after="240" w:afterAutospacing="0" w:line="240" w:lineRule="auto"/>
        <w:ind w:left="0" w:right="0" w:firstLine="0"/>
        <w:rPr>
          <w:rFonts w:hint="eastAsia" w:asciiTheme="minorEastAsia" w:hAnsiTheme="minorEastAsia" w:eastAsiaTheme="minorEastAsia" w:cstheme="minorEastAsia"/>
          <w:i w:val="0"/>
          <w:caps w:val="0"/>
          <w:color w:val="333333"/>
          <w:spacing w:val="8"/>
          <w:sz w:val="28"/>
          <w:szCs w:val="28"/>
        </w:rPr>
      </w:pPr>
      <w:r>
        <w:rPr>
          <w:rFonts w:hint="eastAsia" w:asciiTheme="minorEastAsia" w:hAnsiTheme="minorEastAsia" w:eastAsiaTheme="minorEastAsia" w:cstheme="minorEastAsia"/>
          <w:i w:val="0"/>
          <w:caps w:val="0"/>
          <w:color w:val="333333"/>
          <w:spacing w:val="8"/>
          <w:sz w:val="28"/>
          <w:szCs w:val="28"/>
          <w:shd w:val="clear" w:fill="FFFFFF"/>
        </w:rPr>
        <w:t>2.对于需要回收、置换、购置的,于2019年9月20日前完成。工作情况报送市(州)汇总后,于9月30日前经市(州)治理工作小组组长签字并加盖市(州)政府公章后,以市(州)治理工作小组办公室名义报送省治理工作小组联合办公室。(各市〔州〕、县〔市、区〕政府负责)</w:t>
      </w:r>
    </w:p>
    <w:p>
      <w:pPr>
        <w:pStyle w:val="7"/>
        <w:keepNext w:val="0"/>
        <w:keepLines w:val="0"/>
        <w:widowControl/>
        <w:suppressLineNumbers w:val="0"/>
        <w:shd w:val="clear" w:fill="FFFFFF"/>
        <w:spacing w:before="0" w:beforeAutospacing="0" w:after="240" w:afterAutospacing="0" w:line="240" w:lineRule="auto"/>
        <w:ind w:left="0" w:right="0" w:firstLine="0"/>
        <w:rPr>
          <w:rFonts w:hint="eastAsia" w:asciiTheme="minorEastAsia" w:hAnsiTheme="minorEastAsia" w:eastAsiaTheme="minorEastAsia" w:cstheme="minorEastAsia"/>
          <w:i w:val="0"/>
          <w:caps w:val="0"/>
          <w:color w:val="333333"/>
          <w:spacing w:val="8"/>
          <w:sz w:val="28"/>
          <w:szCs w:val="28"/>
        </w:rPr>
      </w:pPr>
      <w:r>
        <w:rPr>
          <w:rFonts w:hint="eastAsia" w:asciiTheme="minorEastAsia" w:hAnsiTheme="minorEastAsia" w:eastAsiaTheme="minorEastAsia" w:cstheme="minorEastAsia"/>
          <w:i w:val="0"/>
          <w:caps w:val="0"/>
          <w:color w:val="333333"/>
          <w:spacing w:val="8"/>
          <w:sz w:val="28"/>
          <w:szCs w:val="28"/>
          <w:shd w:val="clear" w:fill="FFFFFF"/>
        </w:rPr>
        <w:t>3.对于需要补建、改建、新建的,于2019年12月底前完成相关建设规划,规划情况报送市(州)汇总后,于2019年12月31日前经市(州)治理工作小组组长签字并加盖市(州)政府公章后,以市(州)治理工作小组办公室名义报送省治理工作小组联合办公室;2020年12月底前,完成项目竣工验收,相关工作情况报送市(州)汇总后,于2020年12月31日前经市(州)治理工作小组组长签字并加盖市(州)政府公章后,以市(州)治理工作小组办公室名义报送省治理工作小组联合办公室。(各市〔州〕、县〔市、区〕政府负责)</w:t>
      </w:r>
    </w:p>
    <w:p>
      <w:pPr>
        <w:pStyle w:val="7"/>
        <w:keepNext w:val="0"/>
        <w:keepLines w:val="0"/>
        <w:widowControl/>
        <w:suppressLineNumbers w:val="0"/>
        <w:shd w:val="clear" w:fill="FFFFFF"/>
        <w:spacing w:before="0" w:beforeAutospacing="0" w:after="240" w:afterAutospacing="0" w:line="240" w:lineRule="auto"/>
        <w:ind w:left="0" w:right="0" w:firstLine="0"/>
        <w:rPr>
          <w:rFonts w:hint="eastAsia" w:asciiTheme="minorEastAsia" w:hAnsiTheme="minorEastAsia" w:eastAsiaTheme="minorEastAsia" w:cstheme="minorEastAsia"/>
          <w:i w:val="0"/>
          <w:caps w:val="0"/>
          <w:color w:val="333333"/>
          <w:spacing w:val="8"/>
          <w:sz w:val="28"/>
          <w:szCs w:val="28"/>
        </w:rPr>
      </w:pPr>
      <w:r>
        <w:rPr>
          <w:rStyle w:val="11"/>
          <w:rFonts w:hint="eastAsia" w:asciiTheme="minorEastAsia" w:hAnsiTheme="minorEastAsia" w:eastAsiaTheme="minorEastAsia" w:cstheme="minorEastAsia"/>
          <w:i w:val="0"/>
          <w:caps w:val="0"/>
          <w:color w:val="333333"/>
          <w:spacing w:val="8"/>
          <w:sz w:val="28"/>
          <w:szCs w:val="28"/>
          <w:shd w:val="clear" w:fill="FFFFFF"/>
        </w:rPr>
        <w:t>四、责任分工</w:t>
      </w:r>
    </w:p>
    <w:p>
      <w:pPr>
        <w:pStyle w:val="7"/>
        <w:keepNext w:val="0"/>
        <w:keepLines w:val="0"/>
        <w:widowControl/>
        <w:suppressLineNumbers w:val="0"/>
        <w:shd w:val="clear" w:fill="FFFFFF"/>
        <w:spacing w:before="0" w:beforeAutospacing="0" w:after="240" w:afterAutospacing="0" w:line="240" w:lineRule="auto"/>
        <w:ind w:left="0" w:right="0" w:firstLine="592" w:firstLineChars="200"/>
        <w:rPr>
          <w:rFonts w:hint="eastAsia" w:asciiTheme="minorEastAsia" w:hAnsiTheme="minorEastAsia" w:eastAsiaTheme="minorEastAsia" w:cstheme="minorEastAsia"/>
          <w:i w:val="0"/>
          <w:caps w:val="0"/>
          <w:color w:val="333333"/>
          <w:spacing w:val="8"/>
          <w:sz w:val="28"/>
          <w:szCs w:val="28"/>
        </w:rPr>
      </w:pPr>
      <w:r>
        <w:rPr>
          <w:rFonts w:hint="eastAsia" w:asciiTheme="minorEastAsia" w:hAnsiTheme="minorEastAsia" w:eastAsiaTheme="minorEastAsia" w:cstheme="minorEastAsia"/>
          <w:i w:val="0"/>
          <w:caps w:val="0"/>
          <w:color w:val="333333"/>
          <w:spacing w:val="8"/>
          <w:sz w:val="28"/>
          <w:szCs w:val="28"/>
          <w:shd w:val="clear" w:fill="FFFFFF"/>
        </w:rPr>
        <w:t>按照省级统筹、市级指导、县级为主的原则开展治理工作。各县(市、区)政府要按照小区配套幼儿园规划、建设、移交、办园等各个环节的工作要求,明晰各项工作的主责部门及配合部门,建立联审联管机制,切实把各项任务落到实处。</w:t>
      </w:r>
    </w:p>
    <w:p>
      <w:pPr>
        <w:pStyle w:val="7"/>
        <w:keepNext w:val="0"/>
        <w:keepLines w:val="0"/>
        <w:widowControl/>
        <w:suppressLineNumbers w:val="0"/>
        <w:shd w:val="clear" w:fill="FFFFFF"/>
        <w:spacing w:before="0" w:beforeAutospacing="0" w:after="240" w:afterAutospacing="0" w:line="240" w:lineRule="auto"/>
        <w:ind w:left="0" w:right="0" w:firstLine="592" w:firstLineChars="200"/>
        <w:rPr>
          <w:rFonts w:hint="eastAsia" w:asciiTheme="minorEastAsia" w:hAnsiTheme="minorEastAsia" w:eastAsiaTheme="minorEastAsia" w:cstheme="minorEastAsia"/>
          <w:i w:val="0"/>
          <w:caps w:val="0"/>
          <w:color w:val="333333"/>
          <w:spacing w:val="8"/>
          <w:sz w:val="28"/>
          <w:szCs w:val="28"/>
        </w:rPr>
      </w:pPr>
      <w:r>
        <w:rPr>
          <w:rFonts w:hint="eastAsia" w:asciiTheme="minorEastAsia" w:hAnsiTheme="minorEastAsia" w:eastAsiaTheme="minorEastAsia" w:cstheme="minorEastAsia"/>
          <w:i w:val="0"/>
          <w:caps w:val="0"/>
          <w:color w:val="333333"/>
          <w:spacing w:val="8"/>
          <w:sz w:val="28"/>
          <w:szCs w:val="28"/>
          <w:shd w:val="clear" w:fill="FFFFFF"/>
        </w:rPr>
        <w:t>教育行政部门要参与小区配套幼儿园规划、建设、验收、移交等各个环节的工作。</w:t>
      </w:r>
    </w:p>
    <w:p>
      <w:pPr>
        <w:pStyle w:val="7"/>
        <w:keepNext w:val="0"/>
        <w:keepLines w:val="0"/>
        <w:widowControl/>
        <w:suppressLineNumbers w:val="0"/>
        <w:shd w:val="clear" w:fill="FFFFFF"/>
        <w:spacing w:before="0" w:beforeAutospacing="0" w:after="240" w:afterAutospacing="0" w:line="240" w:lineRule="auto"/>
        <w:ind w:left="0" w:right="0" w:firstLine="592" w:firstLineChars="200"/>
        <w:rPr>
          <w:rFonts w:hint="eastAsia" w:asciiTheme="minorEastAsia" w:hAnsiTheme="minorEastAsia" w:eastAsiaTheme="minorEastAsia" w:cstheme="minorEastAsia"/>
          <w:i w:val="0"/>
          <w:caps w:val="0"/>
          <w:color w:val="333333"/>
          <w:spacing w:val="8"/>
          <w:sz w:val="28"/>
          <w:szCs w:val="28"/>
        </w:rPr>
      </w:pPr>
      <w:r>
        <w:rPr>
          <w:rFonts w:hint="eastAsia" w:asciiTheme="minorEastAsia" w:hAnsiTheme="minorEastAsia" w:eastAsiaTheme="minorEastAsia" w:cstheme="minorEastAsia"/>
          <w:i w:val="0"/>
          <w:caps w:val="0"/>
          <w:color w:val="333333"/>
          <w:spacing w:val="8"/>
          <w:sz w:val="28"/>
          <w:szCs w:val="28"/>
          <w:shd w:val="clear" w:fill="FFFFFF"/>
        </w:rPr>
        <w:t>发展改革部门要参与小区配套幼儿园建设项目规划布局,对需要补建、改建、新建的项目按程序及时办理审批、核准或备案手续。</w:t>
      </w:r>
    </w:p>
    <w:p>
      <w:pPr>
        <w:pStyle w:val="7"/>
        <w:keepNext w:val="0"/>
        <w:keepLines w:val="0"/>
        <w:widowControl/>
        <w:suppressLineNumbers w:val="0"/>
        <w:shd w:val="clear" w:fill="FFFFFF"/>
        <w:spacing w:before="0" w:beforeAutospacing="0" w:after="240" w:afterAutospacing="0" w:line="240" w:lineRule="auto"/>
        <w:ind w:left="0" w:right="0" w:firstLine="592" w:firstLineChars="200"/>
        <w:rPr>
          <w:rFonts w:hint="eastAsia" w:asciiTheme="minorEastAsia" w:hAnsiTheme="minorEastAsia" w:eastAsiaTheme="minorEastAsia" w:cstheme="minorEastAsia"/>
          <w:i w:val="0"/>
          <w:caps w:val="0"/>
          <w:color w:val="333333"/>
          <w:spacing w:val="8"/>
          <w:sz w:val="28"/>
          <w:szCs w:val="28"/>
        </w:rPr>
      </w:pPr>
      <w:r>
        <w:rPr>
          <w:rFonts w:hint="eastAsia" w:asciiTheme="minorEastAsia" w:hAnsiTheme="minorEastAsia" w:eastAsiaTheme="minorEastAsia" w:cstheme="minorEastAsia"/>
          <w:i w:val="0"/>
          <w:caps w:val="0"/>
          <w:color w:val="333333"/>
          <w:spacing w:val="8"/>
          <w:sz w:val="28"/>
          <w:szCs w:val="28"/>
          <w:shd w:val="clear" w:fill="FFFFFF"/>
        </w:rPr>
        <w:t>自然资源部门要根据国家和地方配建标准,统筹规划城镇小区配套幼儿园,将小区配套幼儿园必要建设用地及时纳入国土空间规划,按相关规定划拨建设用地。</w:t>
      </w:r>
    </w:p>
    <w:p>
      <w:pPr>
        <w:pStyle w:val="7"/>
        <w:keepNext w:val="0"/>
        <w:keepLines w:val="0"/>
        <w:widowControl/>
        <w:suppressLineNumbers w:val="0"/>
        <w:shd w:val="clear" w:fill="FFFFFF"/>
        <w:spacing w:before="0" w:beforeAutospacing="0" w:after="240" w:afterAutospacing="0" w:line="240" w:lineRule="auto"/>
        <w:ind w:left="0" w:right="0" w:firstLine="592" w:firstLineChars="200"/>
        <w:rPr>
          <w:rFonts w:hint="eastAsia" w:asciiTheme="minorEastAsia" w:hAnsiTheme="minorEastAsia" w:eastAsiaTheme="minorEastAsia" w:cstheme="minorEastAsia"/>
          <w:i w:val="0"/>
          <w:caps w:val="0"/>
          <w:color w:val="333333"/>
          <w:spacing w:val="8"/>
          <w:sz w:val="28"/>
          <w:szCs w:val="28"/>
        </w:rPr>
      </w:pPr>
      <w:r>
        <w:rPr>
          <w:rFonts w:hint="eastAsia" w:asciiTheme="minorEastAsia" w:hAnsiTheme="minorEastAsia" w:eastAsiaTheme="minorEastAsia" w:cstheme="minorEastAsia"/>
          <w:i w:val="0"/>
          <w:caps w:val="0"/>
          <w:color w:val="333333"/>
          <w:spacing w:val="8"/>
          <w:sz w:val="28"/>
          <w:szCs w:val="28"/>
          <w:shd w:val="clear" w:fill="FFFFFF"/>
        </w:rPr>
        <w:t>住房城乡建设部门要加强对城镇小区配套幼儿园的建筑设计、施工建设、验收、移交的监管落实。</w:t>
      </w:r>
    </w:p>
    <w:p>
      <w:pPr>
        <w:pStyle w:val="7"/>
        <w:keepNext w:val="0"/>
        <w:keepLines w:val="0"/>
        <w:widowControl/>
        <w:suppressLineNumbers w:val="0"/>
        <w:shd w:val="clear" w:fill="FFFFFF"/>
        <w:spacing w:before="0" w:beforeAutospacing="0" w:after="240" w:afterAutospacing="0" w:line="240" w:lineRule="auto"/>
        <w:ind w:left="0" w:right="0" w:firstLine="592" w:firstLineChars="200"/>
        <w:rPr>
          <w:rFonts w:hint="eastAsia" w:asciiTheme="minorEastAsia" w:hAnsiTheme="minorEastAsia" w:eastAsiaTheme="minorEastAsia" w:cstheme="minorEastAsia"/>
          <w:i w:val="0"/>
          <w:caps w:val="0"/>
          <w:color w:val="333333"/>
          <w:spacing w:val="8"/>
          <w:sz w:val="28"/>
          <w:szCs w:val="28"/>
        </w:rPr>
      </w:pPr>
      <w:r>
        <w:rPr>
          <w:rFonts w:hint="eastAsia" w:asciiTheme="minorEastAsia" w:hAnsiTheme="minorEastAsia" w:eastAsiaTheme="minorEastAsia" w:cstheme="minorEastAsia"/>
          <w:i w:val="0"/>
          <w:caps w:val="0"/>
          <w:color w:val="333333"/>
          <w:spacing w:val="8"/>
          <w:sz w:val="28"/>
          <w:szCs w:val="28"/>
          <w:shd w:val="clear" w:fill="FFFFFF"/>
        </w:rPr>
        <w:t>机构编制部门要会同教育、财政部门加强对公办城镇小区配套幼儿园编制的管理,按程序做好小区配套幼儿园移交涉及的机构编制工作,对拟办为公办园的,依法办理事业单位法人登记。按照标准科学核定公办幼儿园教职工编制,所需编制在本地区现有事业单位人员编制总量内调剂解决。编制不足部分可尝试通过政府购买服务方式解决。</w:t>
      </w:r>
    </w:p>
    <w:p>
      <w:pPr>
        <w:pStyle w:val="7"/>
        <w:keepNext w:val="0"/>
        <w:keepLines w:val="0"/>
        <w:widowControl/>
        <w:suppressLineNumbers w:val="0"/>
        <w:shd w:val="clear" w:fill="FFFFFF"/>
        <w:spacing w:before="0" w:beforeAutospacing="0" w:after="240" w:afterAutospacing="0" w:line="240" w:lineRule="auto"/>
        <w:ind w:left="0" w:right="0" w:firstLine="592" w:firstLineChars="200"/>
        <w:rPr>
          <w:rFonts w:hint="eastAsia" w:asciiTheme="minorEastAsia" w:hAnsiTheme="minorEastAsia" w:eastAsiaTheme="minorEastAsia" w:cstheme="minorEastAsia"/>
          <w:i w:val="0"/>
          <w:caps w:val="0"/>
          <w:color w:val="333333"/>
          <w:spacing w:val="8"/>
          <w:sz w:val="28"/>
          <w:szCs w:val="28"/>
        </w:rPr>
      </w:pPr>
      <w:r>
        <w:rPr>
          <w:rFonts w:hint="eastAsia" w:asciiTheme="minorEastAsia" w:hAnsiTheme="minorEastAsia" w:eastAsiaTheme="minorEastAsia" w:cstheme="minorEastAsia"/>
          <w:i w:val="0"/>
          <w:caps w:val="0"/>
          <w:color w:val="333333"/>
          <w:spacing w:val="8"/>
          <w:sz w:val="28"/>
          <w:szCs w:val="28"/>
          <w:shd w:val="clear" w:fill="FFFFFF"/>
        </w:rPr>
        <w:t>民政部门要对移交的拟办为民办园的小区配套幼儿园按照《民办非企业单位登记管理暂行条例》有关要求,依法办理民办非企业单位法人登记。</w:t>
      </w:r>
    </w:p>
    <w:p>
      <w:pPr>
        <w:pStyle w:val="7"/>
        <w:keepNext w:val="0"/>
        <w:keepLines w:val="0"/>
        <w:widowControl/>
        <w:suppressLineNumbers w:val="0"/>
        <w:shd w:val="clear" w:fill="FFFFFF"/>
        <w:spacing w:before="0" w:beforeAutospacing="0" w:after="240" w:afterAutospacing="0" w:line="240" w:lineRule="auto"/>
        <w:ind w:left="0" w:right="0" w:firstLine="592" w:firstLineChars="200"/>
        <w:rPr>
          <w:rFonts w:hint="eastAsia" w:asciiTheme="minorEastAsia" w:hAnsiTheme="minorEastAsia" w:eastAsiaTheme="minorEastAsia" w:cstheme="minorEastAsia"/>
          <w:i w:val="0"/>
          <w:caps w:val="0"/>
          <w:color w:val="333333"/>
          <w:spacing w:val="8"/>
          <w:sz w:val="28"/>
          <w:szCs w:val="28"/>
        </w:rPr>
      </w:pPr>
      <w:r>
        <w:rPr>
          <w:rFonts w:hint="eastAsia" w:asciiTheme="minorEastAsia" w:hAnsiTheme="minorEastAsia" w:eastAsiaTheme="minorEastAsia" w:cstheme="minorEastAsia"/>
          <w:i w:val="0"/>
          <w:caps w:val="0"/>
          <w:color w:val="333333"/>
          <w:spacing w:val="8"/>
          <w:sz w:val="28"/>
          <w:szCs w:val="28"/>
          <w:shd w:val="clear" w:fill="FFFFFF"/>
        </w:rPr>
        <w:t>各县(市、区)财政部门要建立学前教育投入稳定增长机制,努力保证城镇小区配套公办园的办园经费,积极支持普惠性民办园发展。</w:t>
      </w:r>
    </w:p>
    <w:p>
      <w:pPr>
        <w:pStyle w:val="7"/>
        <w:keepNext w:val="0"/>
        <w:keepLines w:val="0"/>
        <w:widowControl/>
        <w:suppressLineNumbers w:val="0"/>
        <w:shd w:val="clear" w:fill="FFFFFF"/>
        <w:spacing w:before="0" w:beforeAutospacing="0" w:after="240" w:afterAutospacing="0" w:line="240" w:lineRule="auto"/>
        <w:ind w:left="0" w:right="0" w:firstLine="592" w:firstLineChars="200"/>
        <w:rPr>
          <w:rFonts w:hint="eastAsia" w:asciiTheme="minorEastAsia" w:hAnsiTheme="minorEastAsia" w:eastAsiaTheme="minorEastAsia" w:cstheme="minorEastAsia"/>
          <w:i w:val="0"/>
          <w:caps w:val="0"/>
          <w:color w:val="333333"/>
          <w:spacing w:val="8"/>
          <w:sz w:val="28"/>
          <w:szCs w:val="28"/>
        </w:rPr>
      </w:pPr>
      <w:r>
        <w:rPr>
          <w:rFonts w:hint="eastAsia" w:asciiTheme="minorEastAsia" w:hAnsiTheme="minorEastAsia" w:eastAsiaTheme="minorEastAsia" w:cstheme="minorEastAsia"/>
          <w:i w:val="0"/>
          <w:caps w:val="0"/>
          <w:color w:val="333333"/>
          <w:spacing w:val="8"/>
          <w:sz w:val="28"/>
          <w:szCs w:val="28"/>
          <w:shd w:val="clear" w:fill="FFFFFF"/>
        </w:rPr>
        <w:t>在治理工作中,需要其他相关部门支持配合的,县(市、区)政府要加强统筹协调。</w:t>
      </w:r>
    </w:p>
    <w:p>
      <w:pPr>
        <w:pStyle w:val="7"/>
        <w:keepNext w:val="0"/>
        <w:keepLines w:val="0"/>
        <w:widowControl/>
        <w:suppressLineNumbers w:val="0"/>
        <w:shd w:val="clear" w:fill="FFFFFF"/>
        <w:spacing w:before="0" w:beforeAutospacing="0" w:after="240" w:afterAutospacing="0" w:line="240" w:lineRule="auto"/>
        <w:ind w:left="0" w:right="0" w:firstLine="0"/>
        <w:rPr>
          <w:rFonts w:hint="eastAsia" w:asciiTheme="minorEastAsia" w:hAnsiTheme="minorEastAsia" w:eastAsiaTheme="minorEastAsia" w:cstheme="minorEastAsia"/>
          <w:i w:val="0"/>
          <w:caps w:val="0"/>
          <w:color w:val="333333"/>
          <w:spacing w:val="8"/>
          <w:sz w:val="28"/>
          <w:szCs w:val="28"/>
        </w:rPr>
      </w:pPr>
      <w:r>
        <w:rPr>
          <w:rStyle w:val="11"/>
          <w:rFonts w:hint="eastAsia" w:asciiTheme="minorEastAsia" w:hAnsiTheme="minorEastAsia" w:eastAsiaTheme="minorEastAsia" w:cstheme="minorEastAsia"/>
          <w:i w:val="0"/>
          <w:caps w:val="0"/>
          <w:color w:val="333333"/>
          <w:spacing w:val="8"/>
          <w:sz w:val="28"/>
          <w:szCs w:val="28"/>
          <w:shd w:val="clear" w:fill="FFFFFF"/>
        </w:rPr>
        <w:t>五、工作要求</w:t>
      </w:r>
    </w:p>
    <w:p>
      <w:pPr>
        <w:pStyle w:val="7"/>
        <w:keepNext w:val="0"/>
        <w:keepLines w:val="0"/>
        <w:widowControl/>
        <w:suppressLineNumbers w:val="0"/>
        <w:shd w:val="clear" w:fill="FFFFFF"/>
        <w:spacing w:before="0" w:beforeAutospacing="0" w:after="240" w:afterAutospacing="0" w:line="240" w:lineRule="auto"/>
        <w:ind w:left="0" w:right="0" w:firstLine="0"/>
        <w:rPr>
          <w:rFonts w:hint="eastAsia" w:asciiTheme="minorEastAsia" w:hAnsiTheme="minorEastAsia" w:eastAsiaTheme="minorEastAsia" w:cstheme="minorEastAsia"/>
          <w:i w:val="0"/>
          <w:caps w:val="0"/>
          <w:color w:val="333333"/>
          <w:spacing w:val="8"/>
          <w:sz w:val="28"/>
          <w:szCs w:val="28"/>
        </w:rPr>
      </w:pPr>
      <w:r>
        <w:rPr>
          <w:rFonts w:hint="eastAsia" w:asciiTheme="minorEastAsia" w:hAnsiTheme="minorEastAsia" w:eastAsiaTheme="minorEastAsia" w:cstheme="minorEastAsia"/>
          <w:i w:val="0"/>
          <w:caps w:val="0"/>
          <w:color w:val="333333"/>
          <w:spacing w:val="8"/>
          <w:sz w:val="28"/>
          <w:szCs w:val="28"/>
          <w:shd w:val="clear" w:fill="FFFFFF"/>
        </w:rPr>
        <w:t>(一)建立各级治理工作协调机制。成立吉林省城镇小区配套幼儿园治理工作小组(组成人员名单另行通知),治理工作小组联合办公室设在省教育厅、省住房城乡建设厅。各市(州)、县(市、区)政府要参照建立相应工作机制,组长由负责常务工作的政府负责人担任,加强治理工作协调。各市(州)治理工作小组办公室要于2019年4月20日前将本级及所辖县(市、区)两级治理工作小组成员名单及联系方式报送省治理工作小组联合办公室。</w:t>
      </w:r>
    </w:p>
    <w:p>
      <w:pPr>
        <w:pStyle w:val="7"/>
        <w:keepNext w:val="0"/>
        <w:keepLines w:val="0"/>
        <w:widowControl/>
        <w:suppressLineNumbers w:val="0"/>
        <w:shd w:val="clear" w:fill="FFFFFF"/>
        <w:spacing w:before="0" w:beforeAutospacing="0" w:after="240" w:afterAutospacing="0" w:line="240" w:lineRule="auto"/>
        <w:ind w:left="0" w:right="0" w:firstLine="0"/>
        <w:rPr>
          <w:rFonts w:hint="eastAsia" w:asciiTheme="minorEastAsia" w:hAnsiTheme="minorEastAsia" w:eastAsiaTheme="minorEastAsia" w:cstheme="minorEastAsia"/>
          <w:i w:val="0"/>
          <w:caps w:val="0"/>
          <w:color w:val="333333"/>
          <w:spacing w:val="8"/>
          <w:sz w:val="28"/>
          <w:szCs w:val="28"/>
        </w:rPr>
      </w:pPr>
      <w:r>
        <w:rPr>
          <w:rFonts w:hint="eastAsia" w:asciiTheme="minorEastAsia" w:hAnsiTheme="minorEastAsia" w:eastAsiaTheme="minorEastAsia" w:cstheme="minorEastAsia"/>
          <w:i w:val="0"/>
          <w:caps w:val="0"/>
          <w:color w:val="333333"/>
          <w:spacing w:val="8"/>
          <w:sz w:val="28"/>
          <w:szCs w:val="28"/>
          <w:shd w:val="clear" w:fill="FFFFFF"/>
        </w:rPr>
        <w:t>(二)加强治理工作保障。各市(州)、县(市、区)政府要认真制定治理工作方案,明确治理步骤,细化工作分工,压实部门责任,完善治理举措,确保治理工作如期完成。健全部门工作联动机制、形势研判机制和应急反应机制等,妥善处理突发事件,坚决维护社会稳定。各市(州)要及时总结治理情况,制定完善小区配套幼儿园建设管理办法,形成规范管理的长效机制。</w:t>
      </w:r>
    </w:p>
    <w:p>
      <w:pPr>
        <w:pStyle w:val="7"/>
        <w:keepNext w:val="0"/>
        <w:keepLines w:val="0"/>
        <w:widowControl/>
        <w:suppressLineNumbers w:val="0"/>
        <w:shd w:val="clear" w:fill="FFFFFF"/>
        <w:spacing w:before="0" w:beforeAutospacing="0" w:after="240" w:afterAutospacing="0" w:line="240" w:lineRule="auto"/>
        <w:ind w:left="0" w:right="0" w:firstLine="0"/>
        <w:rPr>
          <w:rFonts w:hint="eastAsia" w:asciiTheme="minorEastAsia" w:hAnsiTheme="minorEastAsia" w:eastAsiaTheme="minorEastAsia" w:cstheme="minorEastAsia"/>
          <w:i w:val="0"/>
          <w:caps w:val="0"/>
          <w:color w:val="333333"/>
          <w:spacing w:val="8"/>
          <w:sz w:val="28"/>
          <w:szCs w:val="28"/>
        </w:rPr>
      </w:pPr>
      <w:r>
        <w:rPr>
          <w:rFonts w:hint="eastAsia" w:asciiTheme="minorEastAsia" w:hAnsiTheme="minorEastAsia" w:eastAsiaTheme="minorEastAsia" w:cstheme="minorEastAsia"/>
          <w:i w:val="0"/>
          <w:caps w:val="0"/>
          <w:color w:val="333333"/>
          <w:spacing w:val="8"/>
          <w:sz w:val="28"/>
          <w:szCs w:val="28"/>
          <w:shd w:val="clear" w:fill="FFFFFF"/>
        </w:rPr>
        <w:t>(三)加大监督评估力度。建立省对市、市对县的两级监督评估机制,对各县(市、区)摸底排查、全面整改等环节加强监督评估,并针对关键环节适时进行抽查,对落实不力、整改不到位的地区进行通报。对在治理工作中发现的造成学前教育资源严重流失等失职渎职行为和违法违纪案件,依法依规追究责任。各县(市、区)要加强社会监督,及时向社会公布治理工作方案、整改措施及治理结果,要畅通群众反映意见渠道,设立并公布监督举报电话和信箱。各地治理工作方案、反映意见渠道等情况,要及时报送省治理工作小组联合办公室。</w:t>
      </w:r>
    </w:p>
    <w:p>
      <w:pPr>
        <w:spacing w:line="240" w:lineRule="auto"/>
        <w:rPr>
          <w:rFonts w:hint="eastAsia" w:asciiTheme="minorEastAsia" w:hAnsiTheme="minorEastAsia" w:eastAsiaTheme="minorEastAsia" w:cstheme="minorEastAsia"/>
          <w:sz w:val="28"/>
          <w:szCs w:val="28"/>
          <w:lang w:val="en-US" w:eastAsia="zh-CN"/>
        </w:rPr>
      </w:pPr>
      <w:bookmarkStart w:id="0" w:name="_GoBack"/>
      <w:bookmarkEnd w:id="0"/>
    </w:p>
    <w:sectPr>
      <w:headerReference r:id="rId3" w:type="default"/>
      <w:footerReference r:id="rId4" w:type="default"/>
      <w:footerReference r:id="rId5" w:type="even"/>
      <w:pgSz w:w="11900" w:h="16840"/>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auto"/>
    <w:pitch w:val="default"/>
    <w:sig w:usb0="E00002FF" w:usb1="400004FF" w:usb2="00000000" w:usb3="00000000" w:csb0="2000019F" w:csb1="00000000"/>
  </w:font>
  <w:font w:name="Heiti SC Light">
    <w:altName w:val="Microsoft YaHei UI Light"/>
    <w:panose1 w:val="02000000000000000000"/>
    <w:charset w:val="50"/>
    <w:family w:val="auto"/>
    <w:pitch w:val="default"/>
    <w:sig w:usb0="00000000" w:usb1="00000000" w:usb2="00000010" w:usb3="00000000" w:csb0="003E0000" w:csb1="00000000"/>
  </w:font>
  <w:font w:name="微软雅黑">
    <w:panose1 w:val="020B0503020204020204"/>
    <w:charset w:val="86"/>
    <w:family w:val="auto"/>
    <w:pitch w:val="default"/>
    <w:sig w:usb0="80000287" w:usb1="28CF3C50" w:usb2="00000016" w:usb3="00000000" w:csb0="0004001F" w:csb1="00000000"/>
  </w:font>
  <w:font w:name="Microsoft YaHei UI">
    <w:panose1 w:val="020B0503020204020204"/>
    <w:charset w:val="86"/>
    <w:family w:val="auto"/>
    <w:pitch w:val="default"/>
    <w:sig w:usb0="80000287" w:usb1="28CF3C50" w:usb2="00000016" w:usb3="00000000" w:csb0="0004001F" w:csb1="00000000"/>
  </w:font>
  <w:font w:name="Microsoft YaHei UI Light">
    <w:panose1 w:val="020B0502040204020203"/>
    <w:charset w:val="86"/>
    <w:family w:val="auto"/>
    <w:pitch w:val="default"/>
    <w:sig w:usb0="80000287" w:usb1="28CF001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left" w:pos="5008"/>
        <w:tab w:val="right" w:pos="8420"/>
      </w:tabs>
      <w:jc w:val="left"/>
      <w:rPr>
        <w:rFonts w:hint="eastAsia" w:cs="微软雅黑" w:eastAsiaTheme="minorEastAsia"/>
        <w:sz w:val="18"/>
      </w:rPr>
    </w:pPr>
    <w:r>
      <w:rPr>
        <w:sz w:val="24"/>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Style w:val="12"/>
                              <w:rFonts w:hint="eastAsia" w:eastAsiaTheme="minorEastAsia"/>
                              <w:lang w:eastAsia="zh-CN"/>
                            </w:rPr>
                          </w:pPr>
                          <w:r>
                            <w:rPr>
                              <w:rStyle w:val="12"/>
                              <w:rFonts w:hint="eastAsia"/>
                              <w:lang w:eastAsia="zh-CN"/>
                            </w:rPr>
                            <w:t xml:space="preserve">第 </w:t>
                          </w:r>
                          <w:r>
                            <w:rPr>
                              <w:rStyle w:val="12"/>
                              <w:rFonts w:hint="eastAsia"/>
                              <w:lang w:eastAsia="zh-CN"/>
                            </w:rPr>
                            <w:fldChar w:fldCharType="begin"/>
                          </w:r>
                          <w:r>
                            <w:rPr>
                              <w:rStyle w:val="12"/>
                              <w:rFonts w:hint="eastAsia"/>
                              <w:lang w:eastAsia="zh-CN"/>
                            </w:rPr>
                            <w:instrText xml:space="preserve"> PAGE  \* MERGEFORMAT </w:instrText>
                          </w:r>
                          <w:r>
                            <w:rPr>
                              <w:rStyle w:val="12"/>
                              <w:rFonts w:hint="eastAsia"/>
                              <w:lang w:eastAsia="zh-CN"/>
                            </w:rPr>
                            <w:fldChar w:fldCharType="separate"/>
                          </w:r>
                          <w:r>
                            <w:rPr>
                              <w:rStyle w:val="12"/>
                              <w:rFonts w:hint="eastAsia"/>
                              <w:lang w:eastAsia="zh-CN"/>
                            </w:rPr>
                            <w:t>- 1 -</w:t>
                          </w:r>
                          <w:r>
                            <w:rPr>
                              <w:rStyle w:val="12"/>
                              <w:rFonts w:hint="eastAsia"/>
                              <w:lang w:eastAsia="zh-CN"/>
                            </w:rPr>
                            <w:fldChar w:fldCharType="end"/>
                          </w:r>
                          <w:r>
                            <w:rPr>
                              <w:rStyle w:val="12"/>
                              <w:rFonts w:hint="eastAsia"/>
                              <w:lang w:eastAsia="zh-CN"/>
                            </w:rPr>
                            <w:t xml:space="preserve"> 页 共 </w:t>
                          </w:r>
                          <w:r>
                            <w:rPr>
                              <w:rStyle w:val="12"/>
                              <w:rFonts w:hint="eastAsia"/>
                              <w:lang w:eastAsia="zh-CN"/>
                            </w:rPr>
                            <w:fldChar w:fldCharType="begin"/>
                          </w:r>
                          <w:r>
                            <w:rPr>
                              <w:rStyle w:val="12"/>
                              <w:rFonts w:hint="eastAsia"/>
                              <w:lang w:eastAsia="zh-CN"/>
                            </w:rPr>
                            <w:instrText xml:space="preserve"> NUMPAGES  \* MERGEFORMAT </w:instrText>
                          </w:r>
                          <w:r>
                            <w:rPr>
                              <w:rStyle w:val="12"/>
                              <w:rFonts w:hint="eastAsia"/>
                              <w:lang w:eastAsia="zh-CN"/>
                            </w:rPr>
                            <w:fldChar w:fldCharType="separate"/>
                          </w:r>
                          <w:r>
                            <w:rPr>
                              <w:rStyle w:val="12"/>
                              <w:rFonts w:hint="eastAsia"/>
                              <w:lang w:eastAsia="zh-CN"/>
                            </w:rPr>
                            <w:t>1</w:t>
                          </w:r>
                          <w:r>
                            <w:rPr>
                              <w:rStyle w:val="12"/>
                              <w:rFonts w:hint="eastAsia"/>
                              <w:lang w:eastAsia="zh-CN"/>
                            </w:rPr>
                            <w:fldChar w:fldCharType="end"/>
                          </w:r>
                          <w:r>
                            <w:rPr>
                              <w:rStyle w:val="12"/>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5"/>
                      <w:rPr>
                        <w:rStyle w:val="12"/>
                        <w:rFonts w:hint="eastAsia" w:eastAsiaTheme="minorEastAsia"/>
                        <w:lang w:eastAsia="zh-CN"/>
                      </w:rPr>
                    </w:pPr>
                    <w:r>
                      <w:rPr>
                        <w:rStyle w:val="12"/>
                        <w:rFonts w:hint="eastAsia"/>
                        <w:lang w:eastAsia="zh-CN"/>
                      </w:rPr>
                      <w:t xml:space="preserve">第 </w:t>
                    </w:r>
                    <w:r>
                      <w:rPr>
                        <w:rStyle w:val="12"/>
                        <w:rFonts w:hint="eastAsia"/>
                        <w:lang w:eastAsia="zh-CN"/>
                      </w:rPr>
                      <w:fldChar w:fldCharType="begin"/>
                    </w:r>
                    <w:r>
                      <w:rPr>
                        <w:rStyle w:val="12"/>
                        <w:rFonts w:hint="eastAsia"/>
                        <w:lang w:eastAsia="zh-CN"/>
                      </w:rPr>
                      <w:instrText xml:space="preserve"> PAGE  \* MERGEFORMAT </w:instrText>
                    </w:r>
                    <w:r>
                      <w:rPr>
                        <w:rStyle w:val="12"/>
                        <w:rFonts w:hint="eastAsia"/>
                        <w:lang w:eastAsia="zh-CN"/>
                      </w:rPr>
                      <w:fldChar w:fldCharType="separate"/>
                    </w:r>
                    <w:r>
                      <w:rPr>
                        <w:rStyle w:val="12"/>
                        <w:rFonts w:hint="eastAsia"/>
                        <w:lang w:eastAsia="zh-CN"/>
                      </w:rPr>
                      <w:t>- 1 -</w:t>
                    </w:r>
                    <w:r>
                      <w:rPr>
                        <w:rStyle w:val="12"/>
                        <w:rFonts w:hint="eastAsia"/>
                        <w:lang w:eastAsia="zh-CN"/>
                      </w:rPr>
                      <w:fldChar w:fldCharType="end"/>
                    </w:r>
                    <w:r>
                      <w:rPr>
                        <w:rStyle w:val="12"/>
                        <w:rFonts w:hint="eastAsia"/>
                        <w:lang w:eastAsia="zh-CN"/>
                      </w:rPr>
                      <w:t xml:space="preserve"> 页 共 </w:t>
                    </w:r>
                    <w:r>
                      <w:rPr>
                        <w:rStyle w:val="12"/>
                        <w:rFonts w:hint="eastAsia"/>
                        <w:lang w:eastAsia="zh-CN"/>
                      </w:rPr>
                      <w:fldChar w:fldCharType="begin"/>
                    </w:r>
                    <w:r>
                      <w:rPr>
                        <w:rStyle w:val="12"/>
                        <w:rFonts w:hint="eastAsia"/>
                        <w:lang w:eastAsia="zh-CN"/>
                      </w:rPr>
                      <w:instrText xml:space="preserve"> NUMPAGES  \* MERGEFORMAT </w:instrText>
                    </w:r>
                    <w:r>
                      <w:rPr>
                        <w:rStyle w:val="12"/>
                        <w:rFonts w:hint="eastAsia"/>
                        <w:lang w:eastAsia="zh-CN"/>
                      </w:rPr>
                      <w:fldChar w:fldCharType="separate"/>
                    </w:r>
                    <w:r>
                      <w:rPr>
                        <w:rStyle w:val="12"/>
                        <w:rFonts w:hint="eastAsia"/>
                        <w:lang w:eastAsia="zh-CN"/>
                      </w:rPr>
                      <w:t>1</w:t>
                    </w:r>
                    <w:r>
                      <w:rPr>
                        <w:rStyle w:val="12"/>
                        <w:rFonts w:hint="eastAsia"/>
                        <w:lang w:eastAsia="zh-CN"/>
                      </w:rPr>
                      <w:fldChar w:fldCharType="end"/>
                    </w:r>
                    <w:r>
                      <w:rPr>
                        <w:rStyle w:val="12"/>
                        <w:rFonts w:hint="eastAsia"/>
                        <w:lang w:eastAsia="zh-CN"/>
                      </w:rPr>
                      <w:t xml:space="preserve"> 页</w:t>
                    </w:r>
                  </w:p>
                </w:txbxContent>
              </v:textbox>
            </v:shape>
          </w:pict>
        </mc:Fallback>
      </mc:AlternateContent>
    </w:r>
    <w:r>
      <w:rPr>
        <w:rFonts w:hint="eastAsia"/>
        <w:sz w:val="24"/>
        <w:lang w:eastAsia="zh-CN"/>
      </w:rPr>
      <w:tab/>
    </w:r>
    <w:r>
      <w:rPr>
        <w:rFonts w:hint="eastAsia"/>
        <w:sz w:val="24"/>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Style w:val="12"/>
      </w:rPr>
    </w:pPr>
    <w:r>
      <w:rPr>
        <w:rStyle w:val="12"/>
      </w:rPr>
      <w:fldChar w:fldCharType="begin"/>
    </w:r>
    <w:r>
      <w:rPr>
        <w:rStyle w:val="12"/>
      </w:rPr>
      <w:instrText xml:space="preserve">PAGE  </w:instrText>
    </w:r>
    <w:r>
      <w:rPr>
        <w:rStyle w:val="12"/>
      </w:rPr>
      <w:fldChar w:fldCharType="end"/>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rPr>
        <w:rFonts w:hint="eastAsia" w:eastAsiaTheme="minorEastAsia"/>
        <w:lang w:eastAsia="zh-CN"/>
      </w:rPr>
    </w:pPr>
    <w:r>
      <w:rPr>
        <w:rFonts w:hint="eastAsia" w:eastAsiaTheme="minorEastAsia"/>
        <w:lang w:eastAsia="zh-CN"/>
      </w:rPr>
      <w:drawing>
        <wp:inline distT="0" distB="0" distL="114300" distR="114300">
          <wp:extent cx="5263515" cy="610870"/>
          <wp:effectExtent l="0" t="0" r="9525" b="0"/>
          <wp:docPr id="8" name="图片 8" descr="页眉-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页眉-01"/>
                  <pic:cNvPicPr>
                    <a:picLocks noChangeAspect="1"/>
                  </pic:cNvPicPr>
                </pic:nvPicPr>
                <pic:blipFill>
                  <a:blip r:embed="rId1"/>
                  <a:stretch>
                    <a:fillRect/>
                  </a:stretch>
                </pic:blipFill>
                <pic:spPr>
                  <a:xfrm>
                    <a:off x="0" y="0"/>
                    <a:ext cx="5263515" cy="61087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cumentProtection w:enforcement="0"/>
  <w:defaultTabStop w:val="420"/>
  <w:drawingGridVerticalSpacing w:val="20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B24"/>
    <w:rsid w:val="003F1FA2"/>
    <w:rsid w:val="00846B24"/>
    <w:rsid w:val="03D34A8F"/>
    <w:rsid w:val="0A7A10EB"/>
    <w:rsid w:val="0B762FF5"/>
    <w:rsid w:val="0EB00677"/>
    <w:rsid w:val="0EE95402"/>
    <w:rsid w:val="119D2657"/>
    <w:rsid w:val="14761BF7"/>
    <w:rsid w:val="1C1A0AB9"/>
    <w:rsid w:val="1DE343C2"/>
    <w:rsid w:val="2215217C"/>
    <w:rsid w:val="226C4EAC"/>
    <w:rsid w:val="236C52F7"/>
    <w:rsid w:val="26FF2281"/>
    <w:rsid w:val="27D575E1"/>
    <w:rsid w:val="283B70ED"/>
    <w:rsid w:val="3105130C"/>
    <w:rsid w:val="33EB5444"/>
    <w:rsid w:val="369D26E0"/>
    <w:rsid w:val="390A475E"/>
    <w:rsid w:val="39662285"/>
    <w:rsid w:val="3BB34ED5"/>
    <w:rsid w:val="3ED7330E"/>
    <w:rsid w:val="42573743"/>
    <w:rsid w:val="4AB42AFE"/>
    <w:rsid w:val="4D4E0020"/>
    <w:rsid w:val="4F7A0FC0"/>
    <w:rsid w:val="52A30ED8"/>
    <w:rsid w:val="53420B16"/>
    <w:rsid w:val="58D417AD"/>
    <w:rsid w:val="59CA0478"/>
    <w:rsid w:val="5EBC0793"/>
    <w:rsid w:val="69405B03"/>
    <w:rsid w:val="69F9602B"/>
    <w:rsid w:val="6CB52A32"/>
    <w:rsid w:val="6F2B6C48"/>
    <w:rsid w:val="706E1C4F"/>
    <w:rsid w:val="76EF1C9F"/>
    <w:rsid w:val="798537D3"/>
    <w:rsid w:val="7A206DD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qFormat="1"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qFormat/>
    <w:uiPriority w:val="9"/>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44"/>
      <w:sz w:val="27"/>
      <w:szCs w:val="27"/>
      <w:lang w:val="en-US" w:eastAsia="zh-CN" w:bidi="ar"/>
    </w:rPr>
  </w:style>
  <w:style w:type="paragraph" w:styleId="3">
    <w:name w:val="heading 2"/>
    <w:basedOn w:val="1"/>
    <w:next w:val="1"/>
    <w:semiHidden/>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10">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4">
    <w:name w:val="Balloon Text"/>
    <w:basedOn w:val="1"/>
    <w:link w:val="18"/>
    <w:semiHidden/>
    <w:unhideWhenUsed/>
    <w:qFormat/>
    <w:uiPriority w:val="99"/>
    <w:rPr>
      <w:rFonts w:ascii="Heiti SC Light" w:eastAsia="Heiti SC Light"/>
      <w:sz w:val="18"/>
      <w:szCs w:val="18"/>
    </w:rPr>
  </w:style>
  <w:style w:type="paragraph" w:styleId="5">
    <w:name w:val="footer"/>
    <w:basedOn w:val="1"/>
    <w:link w:val="17"/>
    <w:unhideWhenUsed/>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Strong"/>
    <w:basedOn w:val="10"/>
    <w:qFormat/>
    <w:uiPriority w:val="22"/>
    <w:rPr>
      <w:b/>
    </w:rPr>
  </w:style>
  <w:style w:type="character" w:styleId="12">
    <w:name w:val="page number"/>
    <w:basedOn w:val="10"/>
    <w:semiHidden/>
    <w:unhideWhenUsed/>
    <w:qFormat/>
    <w:uiPriority w:val="99"/>
  </w:style>
  <w:style w:type="character" w:styleId="13">
    <w:name w:val="FollowedHyperlink"/>
    <w:basedOn w:val="10"/>
    <w:semiHidden/>
    <w:unhideWhenUsed/>
    <w:qFormat/>
    <w:uiPriority w:val="99"/>
    <w:rPr>
      <w:rFonts w:hint="eastAsia" w:ascii="微软雅黑" w:hAnsi="微软雅黑" w:eastAsia="微软雅黑" w:cs="微软雅黑"/>
      <w:color w:val="000000"/>
      <w:u w:val="none"/>
    </w:rPr>
  </w:style>
  <w:style w:type="character" w:styleId="14">
    <w:name w:val="HTML Acronym"/>
    <w:basedOn w:val="10"/>
    <w:semiHidden/>
    <w:unhideWhenUsed/>
    <w:qFormat/>
    <w:uiPriority w:val="99"/>
  </w:style>
  <w:style w:type="character" w:styleId="15">
    <w:name w:val="Hyperlink"/>
    <w:basedOn w:val="10"/>
    <w:semiHidden/>
    <w:unhideWhenUsed/>
    <w:qFormat/>
    <w:uiPriority w:val="99"/>
    <w:rPr>
      <w:rFonts w:ascii="微软雅黑" w:hAnsi="微软雅黑" w:eastAsia="微软雅黑" w:cs="微软雅黑"/>
      <w:color w:val="000000"/>
      <w:u w:val="none"/>
    </w:rPr>
  </w:style>
  <w:style w:type="character" w:customStyle="1" w:styleId="16">
    <w:name w:val="页眉字符"/>
    <w:basedOn w:val="10"/>
    <w:link w:val="6"/>
    <w:qFormat/>
    <w:uiPriority w:val="99"/>
    <w:rPr>
      <w:sz w:val="18"/>
      <w:szCs w:val="18"/>
    </w:rPr>
  </w:style>
  <w:style w:type="character" w:customStyle="1" w:styleId="17">
    <w:name w:val="页脚字符"/>
    <w:basedOn w:val="10"/>
    <w:link w:val="5"/>
    <w:qFormat/>
    <w:uiPriority w:val="99"/>
    <w:rPr>
      <w:sz w:val="18"/>
      <w:szCs w:val="18"/>
    </w:rPr>
  </w:style>
  <w:style w:type="character" w:customStyle="1" w:styleId="18">
    <w:name w:val="批注框文本字符"/>
    <w:basedOn w:val="10"/>
    <w:link w:val="4"/>
    <w:semiHidden/>
    <w:qFormat/>
    <w:uiPriority w:val="99"/>
    <w:rPr>
      <w:rFonts w:ascii="Heiti SC Light" w:eastAsia="Heiti SC Light"/>
      <w:sz w:val="18"/>
      <w:szCs w:val="18"/>
    </w:rPr>
  </w:style>
  <w:style w:type="character" w:customStyle="1" w:styleId="19">
    <w:name w:val="job"/>
    <w:basedOn w:val="10"/>
    <w:qFormat/>
    <w:uiPriority w:val="0"/>
  </w:style>
  <w:style w:type="character" w:customStyle="1" w:styleId="20">
    <w:name w:val="job1"/>
    <w:basedOn w:val="10"/>
    <w:qFormat/>
    <w:uiPriority w:val="0"/>
  </w:style>
  <w:style w:type="character" w:customStyle="1" w:styleId="21">
    <w:name w:val="img_title"/>
    <w:basedOn w:val="10"/>
    <w:qFormat/>
    <w:uiPriority w:val="0"/>
    <w:rPr>
      <w:vanish/>
    </w:rPr>
  </w:style>
  <w:style w:type="character" w:customStyle="1" w:styleId="22">
    <w:name w:val="img_title1"/>
    <w:basedOn w:val="10"/>
    <w:qFormat/>
    <w:uiPriority w:val="0"/>
    <w:rPr>
      <w:vanish/>
    </w:rPr>
  </w:style>
  <w:style w:type="character" w:customStyle="1" w:styleId="23">
    <w:name w:val="img_title2"/>
    <w:basedOn w:val="10"/>
    <w:qFormat/>
    <w:uiPriority w:val="0"/>
    <w:rPr>
      <w:vanish/>
    </w:rPr>
  </w:style>
  <w:style w:type="character" w:customStyle="1" w:styleId="24">
    <w:name w:val="img_title3"/>
    <w:basedOn w:val="10"/>
    <w:qFormat/>
    <w:uiPriority w:val="0"/>
    <w:rPr>
      <w:vanish/>
    </w:rPr>
  </w:style>
  <w:style w:type="character" w:customStyle="1" w:styleId="25">
    <w:name w:val="num41"/>
    <w:basedOn w:val="10"/>
    <w:qFormat/>
    <w:uiPriority w:val="0"/>
  </w:style>
  <w:style w:type="character" w:customStyle="1" w:styleId="26">
    <w:name w:val="name"/>
    <w:basedOn w:val="10"/>
    <w:qFormat/>
    <w:uiPriority w:val="0"/>
    <w:rPr>
      <w:color w:val="695435"/>
      <w:sz w:val="24"/>
      <w:szCs w:val="24"/>
    </w:rPr>
  </w:style>
  <w:style w:type="character" w:customStyle="1" w:styleId="27">
    <w:name w:val="name1"/>
    <w:basedOn w:val="10"/>
    <w:qFormat/>
    <w:uiPriority w:val="0"/>
    <w:rPr>
      <w:color w:val="000000"/>
      <w:sz w:val="39"/>
      <w:szCs w:val="39"/>
    </w:rPr>
  </w:style>
  <w:style w:type="character" w:customStyle="1" w:styleId="28">
    <w:name w:val="name2"/>
    <w:basedOn w:val="10"/>
    <w:qFormat/>
    <w:uiPriority w:val="0"/>
    <w:rPr>
      <w:color w:val="444444"/>
      <w:sz w:val="21"/>
      <w:szCs w:val="21"/>
    </w:rPr>
  </w:style>
  <w:style w:type="character" w:customStyle="1" w:styleId="29">
    <w:name w:val="zw"/>
    <w:basedOn w:val="10"/>
    <w:qFormat/>
    <w:uiPriority w:val="0"/>
    <w:rPr>
      <w:color w:val="BD1E22"/>
      <w:sz w:val="22"/>
      <w:szCs w:val="22"/>
    </w:rPr>
  </w:style>
  <w:style w:type="character" w:customStyle="1" w:styleId="30">
    <w:name w:val="buvis"/>
    <w:basedOn w:val="10"/>
    <w:qFormat/>
    <w:uiPriority w:val="0"/>
    <w:rPr>
      <w:color w:val="999999"/>
    </w:rPr>
  </w:style>
  <w:style w:type="character" w:customStyle="1" w:styleId="31">
    <w:name w:val="buvis1"/>
    <w:basedOn w:val="10"/>
    <w:qFormat/>
    <w:uiPriority w:val="0"/>
    <w:rPr>
      <w:color w:val="CC0000"/>
    </w:rPr>
  </w:style>
  <w:style w:type="character" w:customStyle="1" w:styleId="32">
    <w:name w:val="over"/>
    <w:basedOn w:val="10"/>
    <w:qFormat/>
    <w:uiPriority w:val="0"/>
    <w:rPr>
      <w:color w:val="B60000"/>
    </w:rPr>
  </w:style>
  <w:style w:type="character" w:customStyle="1" w:styleId="33">
    <w:name w:val="over1"/>
    <w:basedOn w:val="10"/>
    <w:qFormat/>
    <w:uiPriority w:val="0"/>
    <w:rPr>
      <w:color w:val="999999"/>
    </w:rPr>
  </w:style>
  <w:style w:type="character" w:customStyle="1" w:styleId="34">
    <w:name w:val="over2"/>
    <w:basedOn w:val="10"/>
    <w:qFormat/>
    <w:uiPriority w:val="0"/>
    <w:rPr>
      <w:color w:val="B60000"/>
    </w:rPr>
  </w:style>
  <w:style w:type="character" w:customStyle="1" w:styleId="35">
    <w:name w:val="over3"/>
    <w:basedOn w:val="10"/>
    <w:qFormat/>
    <w:uiPriority w:val="0"/>
  </w:style>
  <w:style w:type="character" w:customStyle="1" w:styleId="36">
    <w:name w:val="starting"/>
    <w:basedOn w:val="10"/>
    <w:qFormat/>
    <w:uiPriority w:val="0"/>
    <w:rPr>
      <w:color w:val="339900"/>
    </w:rPr>
  </w:style>
  <w:style w:type="character" w:customStyle="1" w:styleId="37">
    <w:name w:val="starting1"/>
    <w:basedOn w:val="10"/>
    <w:qFormat/>
    <w:uiPriority w:val="0"/>
  </w:style>
  <w:style w:type="character" w:customStyle="1" w:styleId="38">
    <w:name w:val="starting2"/>
    <w:basedOn w:val="10"/>
    <w:qFormat/>
    <w:uiPriority w:val="0"/>
    <w:rPr>
      <w:color w:val="B60000"/>
    </w:rPr>
  </w:style>
  <w:style w:type="character" w:customStyle="1" w:styleId="39">
    <w:name w:val="starting3"/>
    <w:basedOn w:val="10"/>
    <w:qFormat/>
    <w:uiPriority w:val="0"/>
    <w:rPr>
      <w:color w:val="339900"/>
    </w:rPr>
  </w:style>
  <w:style w:type="character" w:customStyle="1" w:styleId="40">
    <w:name w:val="starting4"/>
    <w:basedOn w:val="10"/>
    <w:qFormat/>
    <w:uiPriority w:val="0"/>
  </w:style>
  <w:style w:type="character" w:customStyle="1" w:styleId="41">
    <w:name w:val="nostart"/>
    <w:basedOn w:val="10"/>
    <w:qFormat/>
    <w:uiPriority w:val="0"/>
    <w:rPr>
      <w:color w:val="FF0000"/>
    </w:rPr>
  </w:style>
  <w:style w:type="character" w:customStyle="1" w:styleId="42">
    <w:name w:val="nostart1"/>
    <w:basedOn w:val="10"/>
    <w:qFormat/>
    <w:uiPriority w:val="0"/>
    <w:rPr>
      <w:color w:val="B60000"/>
    </w:rPr>
  </w:style>
  <w:style w:type="character" w:customStyle="1" w:styleId="43">
    <w:name w:val="nostart2"/>
    <w:basedOn w:val="10"/>
    <w:qFormat/>
    <w:uiPriority w:val="0"/>
    <w:rPr>
      <w:color w:val="FF0000"/>
    </w:rPr>
  </w:style>
  <w:style w:type="character" w:customStyle="1" w:styleId="44">
    <w:name w:val="nostart3"/>
    <w:basedOn w:val="10"/>
    <w:qFormat/>
    <w:uiPriority w:val="0"/>
  </w:style>
  <w:style w:type="character" w:customStyle="1" w:styleId="45">
    <w:name w:val="p05"/>
    <w:basedOn w:val="10"/>
    <w:qFormat/>
    <w:uiPriority w:val="0"/>
  </w:style>
  <w:style w:type="character" w:customStyle="1" w:styleId="46">
    <w:name w:val="txt20"/>
    <w:basedOn w:val="10"/>
    <w:qFormat/>
    <w:uiPriority w:val="0"/>
  </w:style>
  <w:style w:type="character" w:customStyle="1" w:styleId="47">
    <w:name w:val="txt21"/>
    <w:basedOn w:val="10"/>
    <w:qFormat/>
    <w:uiPriority w:val="0"/>
    <w:rPr>
      <w:color w:val="C0C0C0"/>
    </w:rPr>
  </w:style>
  <w:style w:type="character" w:customStyle="1" w:styleId="48">
    <w:name w:val="red"/>
    <w:basedOn w:val="10"/>
    <w:qFormat/>
    <w:uiPriority w:val="0"/>
    <w:rPr>
      <w:rFonts w:hint="default" w:ascii="Arial" w:hAnsi="Arial" w:cs="Arial"/>
      <w:color w:val="E50000"/>
    </w:rPr>
  </w:style>
  <w:style w:type="character" w:customStyle="1" w:styleId="49">
    <w:name w:val="msg-box32"/>
    <w:basedOn w:val="10"/>
    <w:qFormat/>
    <w:uiPriority w:val="0"/>
  </w:style>
  <w:style w:type="character" w:customStyle="1" w:styleId="50">
    <w:name w:val="msg-box33"/>
    <w:basedOn w:val="10"/>
    <w:uiPriority w:val="0"/>
  </w:style>
  <w:style w:type="character" w:customStyle="1" w:styleId="51">
    <w:name w:val="msg-box34"/>
    <w:basedOn w:val="10"/>
    <w:qFormat/>
    <w:uiPriority w:val="0"/>
  </w:style>
  <w:style w:type="character" w:customStyle="1" w:styleId="52">
    <w:name w:val="msg-box35"/>
    <w:basedOn w:val="10"/>
    <w:qFormat/>
    <w:uiPriority w:val="0"/>
  </w:style>
  <w:style w:type="character" w:customStyle="1" w:styleId="53">
    <w:name w:val="tit11"/>
    <w:basedOn w:val="10"/>
    <w:qFormat/>
    <w:uiPriority w:val="0"/>
    <w:rPr>
      <w:color w:val="B60000"/>
    </w:rPr>
  </w:style>
  <w:style w:type="character" w:customStyle="1" w:styleId="54">
    <w:name w:val="tit12"/>
    <w:basedOn w:val="10"/>
    <w:qFormat/>
    <w:uiPriority w:val="0"/>
    <w:rPr>
      <w:color w:val="FFFFFF"/>
    </w:rPr>
  </w:style>
  <w:style w:type="character" w:customStyle="1" w:styleId="55">
    <w:name w:val="tit13"/>
    <w:basedOn w:val="10"/>
    <w:qFormat/>
    <w:uiPriority w:val="0"/>
    <w:rPr>
      <w:color w:val="B60000"/>
    </w:rPr>
  </w:style>
  <w:style w:type="character" w:customStyle="1" w:styleId="56">
    <w:name w:val="tit14"/>
    <w:basedOn w:val="10"/>
    <w:qFormat/>
    <w:uiPriority w:val="0"/>
    <w:rPr>
      <w:b/>
      <w:color w:val="B60000"/>
    </w:rPr>
  </w:style>
  <w:style w:type="character" w:customStyle="1" w:styleId="57">
    <w:name w:val="tit15"/>
    <w:basedOn w:val="10"/>
    <w:qFormat/>
    <w:uiPriority w:val="0"/>
    <w:rPr>
      <w:color w:val="B60000"/>
    </w:rPr>
  </w:style>
  <w:style w:type="character" w:customStyle="1" w:styleId="58">
    <w:name w:val="tit16"/>
    <w:basedOn w:val="10"/>
    <w:qFormat/>
    <w:uiPriority w:val="0"/>
    <w:rPr>
      <w:color w:val="B60000"/>
      <w:sz w:val="27"/>
      <w:szCs w:val="27"/>
      <w:bdr w:val="single" w:color="DFCEB8" w:sz="6" w:space="0"/>
      <w:shd w:val="clear" w:fill="FFFFFF"/>
    </w:rPr>
  </w:style>
  <w:style w:type="character" w:customStyle="1" w:styleId="59">
    <w:name w:val="tit17"/>
    <w:basedOn w:val="10"/>
    <w:qFormat/>
    <w:uiPriority w:val="0"/>
    <w:rPr>
      <w:color w:val="04A06C"/>
    </w:rPr>
  </w:style>
  <w:style w:type="character" w:customStyle="1" w:styleId="60">
    <w:name w:val="jg"/>
    <w:basedOn w:val="10"/>
    <w:qFormat/>
    <w:uiPriority w:val="0"/>
  </w:style>
  <w:style w:type="character" w:customStyle="1" w:styleId="61">
    <w:name w:val="datetime"/>
    <w:basedOn w:val="10"/>
    <w:qFormat/>
    <w:uiPriority w:val="0"/>
    <w:rPr>
      <w:rFonts w:hint="default" w:ascii="Arial" w:hAnsi="Arial" w:cs="Arial"/>
      <w:color w:val="999999"/>
      <w:sz w:val="21"/>
      <w:szCs w:val="21"/>
    </w:rPr>
  </w:style>
  <w:style w:type="character" w:customStyle="1" w:styleId="62">
    <w:name w:val="img2"/>
    <w:basedOn w:val="10"/>
    <w:qFormat/>
    <w:uiPriority w:val="0"/>
  </w:style>
  <w:style w:type="character" w:customStyle="1" w:styleId="63">
    <w:name w:val="num210"/>
    <w:basedOn w:val="10"/>
    <w:qFormat/>
    <w:uiPriority w:val="0"/>
  </w:style>
  <w:style w:type="character" w:customStyle="1" w:styleId="64">
    <w:name w:val="num51"/>
    <w:basedOn w:val="10"/>
    <w:qFormat/>
    <w:uiPriority w:val="0"/>
  </w:style>
  <w:style w:type="character" w:customStyle="1" w:styleId="65">
    <w:name w:val="num61"/>
    <w:basedOn w:val="10"/>
    <w:qFormat/>
    <w:uiPriority w:val="0"/>
  </w:style>
  <w:style w:type="character" w:customStyle="1" w:styleId="66">
    <w:name w:val="num31"/>
    <w:basedOn w:val="10"/>
    <w:qFormat/>
    <w:uiPriority w:val="0"/>
  </w:style>
  <w:style w:type="character" w:customStyle="1" w:styleId="67">
    <w:name w:val="num81"/>
    <w:basedOn w:val="10"/>
    <w:qFormat/>
    <w:uiPriority w:val="0"/>
  </w:style>
  <w:style w:type="character" w:customStyle="1" w:styleId="68">
    <w:name w:val="num71"/>
    <w:basedOn w:val="10"/>
    <w:qFormat/>
    <w:uiPriority w:val="0"/>
  </w:style>
  <w:style w:type="character" w:customStyle="1" w:styleId="69">
    <w:name w:val="l1"/>
    <w:basedOn w:val="10"/>
    <w:qFormat/>
    <w:uiPriority w:val="0"/>
    <w:rPr>
      <w:color w:val="999999"/>
    </w:rPr>
  </w:style>
  <w:style w:type="character" w:customStyle="1" w:styleId="70">
    <w:name w:val="l3"/>
    <w:basedOn w:val="10"/>
    <w:qFormat/>
    <w:uiPriority w:val="0"/>
    <w:rPr>
      <w:color w:val="999999"/>
    </w:rPr>
  </w:style>
  <w:style w:type="character" w:customStyle="1" w:styleId="71">
    <w:name w:val="l21"/>
    <w:basedOn w:val="10"/>
    <w:qFormat/>
    <w:uiPriority w:val="0"/>
    <w:rPr>
      <w:color w:val="999999"/>
    </w:rPr>
  </w:style>
  <w:style w:type="character" w:customStyle="1" w:styleId="72">
    <w:name w:val="l41"/>
    <w:basedOn w:val="10"/>
    <w:qFormat/>
    <w:uiPriority w:val="0"/>
    <w:rPr>
      <w:color w:val="999999"/>
    </w:rPr>
  </w:style>
  <w:style w:type="character" w:customStyle="1" w:styleId="73">
    <w:name w:val="l5"/>
    <w:basedOn w:val="10"/>
    <w:qFormat/>
    <w:uiPriority w:val="0"/>
    <w:rPr>
      <w:color w:val="999999"/>
    </w:rPr>
  </w:style>
  <w:style w:type="character" w:customStyle="1" w:styleId="74">
    <w:name w:val="l6"/>
    <w:basedOn w:val="10"/>
    <w:qFormat/>
    <w:uiPriority w:val="0"/>
    <w:rPr>
      <w:color w:val="999999"/>
    </w:rPr>
  </w:style>
  <w:style w:type="character" w:customStyle="1" w:styleId="75">
    <w:name w:val="l7"/>
    <w:basedOn w:val="10"/>
    <w:qFormat/>
    <w:uiPriority w:val="0"/>
    <w:rPr>
      <w:color w:val="999999"/>
    </w:rPr>
  </w:style>
  <w:style w:type="character" w:customStyle="1" w:styleId="76">
    <w:name w:val="unit"/>
    <w:basedOn w:val="10"/>
    <w:qFormat/>
    <w:uiPriority w:val="0"/>
    <w:rPr>
      <w:color w:val="999999"/>
    </w:rPr>
  </w:style>
  <w:style w:type="character" w:customStyle="1" w:styleId="77">
    <w:name w:val="shixiao"/>
    <w:basedOn w:val="10"/>
    <w:qFormat/>
    <w:uiPriority w:val="0"/>
  </w:style>
  <w:style w:type="character" w:customStyle="1" w:styleId="78">
    <w:name w:val="c1"/>
    <w:basedOn w:val="10"/>
    <w:qFormat/>
    <w:uiPriority w:val="0"/>
  </w:style>
  <w:style w:type="character" w:customStyle="1" w:styleId="79">
    <w:name w:val="c2"/>
    <w:basedOn w:val="10"/>
    <w:qFormat/>
    <w:uiPriority w:val="0"/>
  </w:style>
  <w:style w:type="character" w:customStyle="1" w:styleId="80">
    <w:name w:val="c3"/>
    <w:basedOn w:val="10"/>
    <w:qFormat/>
    <w:uiPriority w:val="0"/>
  </w:style>
  <w:style w:type="character" w:customStyle="1" w:styleId="81">
    <w:name w:val="zs"/>
    <w:basedOn w:val="10"/>
    <w:qFormat/>
    <w:uiPriority w:val="0"/>
    <w:rPr>
      <w:color w:val="8D744B"/>
      <w:sz w:val="18"/>
      <w:szCs w:val="18"/>
    </w:rPr>
  </w:style>
  <w:style w:type="character" w:customStyle="1" w:styleId="82">
    <w:name w:val="mesg-myd"/>
    <w:basedOn w:val="10"/>
    <w:qFormat/>
    <w:uiPriority w:val="0"/>
    <w:rPr>
      <w:color w:val="EE0000"/>
    </w:rPr>
  </w:style>
  <w:style w:type="character" w:customStyle="1" w:styleId="83">
    <w:name w:val="num8"/>
    <w:basedOn w:val="10"/>
    <w:qFormat/>
    <w:uiPriority w:val="0"/>
  </w:style>
  <w:style w:type="character" w:customStyle="1" w:styleId="84">
    <w:name w:val="txt3"/>
    <w:basedOn w:val="10"/>
    <w:qFormat/>
    <w:uiPriority w:val="0"/>
  </w:style>
  <w:style w:type="character" w:customStyle="1" w:styleId="85">
    <w:name w:val="txt4"/>
    <w:basedOn w:val="10"/>
    <w:qFormat/>
    <w:uiPriority w:val="0"/>
    <w:rPr>
      <w:color w:val="C0C0C0"/>
    </w:rPr>
  </w:style>
  <w:style w:type="character" w:customStyle="1" w:styleId="86">
    <w:name w:val="red2"/>
    <w:basedOn w:val="10"/>
    <w:qFormat/>
    <w:uiPriority w:val="0"/>
    <w:rPr>
      <w:rFonts w:hint="default" w:ascii="Arial" w:hAnsi="Arial" w:cs="Arial"/>
      <w:color w:val="E50000"/>
    </w:rPr>
  </w:style>
  <w:style w:type="character" w:customStyle="1" w:styleId="87">
    <w:name w:val="img_title10"/>
    <w:basedOn w:val="10"/>
    <w:qFormat/>
    <w:uiPriority w:val="0"/>
    <w:rPr>
      <w:vanish/>
    </w:rPr>
  </w:style>
  <w:style w:type="character" w:customStyle="1" w:styleId="88">
    <w:name w:val="img_title11"/>
    <w:basedOn w:val="10"/>
    <w:qFormat/>
    <w:uiPriority w:val="0"/>
    <w:rPr>
      <w:vanish/>
    </w:rPr>
  </w:style>
  <w:style w:type="character" w:customStyle="1" w:styleId="89">
    <w:name w:val="img_title12"/>
    <w:basedOn w:val="10"/>
    <w:qFormat/>
    <w:uiPriority w:val="0"/>
    <w:rPr>
      <w:vanish/>
    </w:rPr>
  </w:style>
  <w:style w:type="character" w:customStyle="1" w:styleId="90">
    <w:name w:val="img_title13"/>
    <w:basedOn w:val="10"/>
    <w:qFormat/>
    <w:uiPriority w:val="0"/>
    <w:rPr>
      <w:vanish/>
    </w:rPr>
  </w:style>
  <w:style w:type="character" w:customStyle="1" w:styleId="91">
    <w:name w:val="img3"/>
    <w:basedOn w:val="10"/>
    <w:qFormat/>
    <w:uiPriority w:val="0"/>
  </w:style>
  <w:style w:type="character" w:customStyle="1" w:styleId="92">
    <w:name w:val="l2"/>
    <w:basedOn w:val="10"/>
    <w:qFormat/>
    <w:uiPriority w:val="0"/>
    <w:rPr>
      <w:color w:val="999999"/>
    </w:rPr>
  </w:style>
  <w:style w:type="character" w:customStyle="1" w:styleId="93">
    <w:name w:val="l4"/>
    <w:basedOn w:val="10"/>
    <w:qFormat/>
    <w:uiPriority w:val="0"/>
    <w:rPr>
      <w:color w:val="999999"/>
    </w:rPr>
  </w:style>
  <w:style w:type="character" w:customStyle="1" w:styleId="94">
    <w:name w:val="name3"/>
    <w:basedOn w:val="10"/>
    <w:qFormat/>
    <w:uiPriority w:val="0"/>
    <w:rPr>
      <w:color w:val="695435"/>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红缨教育</Company>
  <Pages>1</Pages>
  <Words>0</Words>
  <Characters>0</Characters>
  <Lines>0</Lines>
  <Paragraphs>0</Paragraphs>
  <TotalTime>6</TotalTime>
  <ScaleCrop>false</ScaleCrop>
  <LinksUpToDate>false</LinksUpToDate>
  <CharactersWithSpaces>0</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2018-12-06T10:43:00Z</dcterms:created>
  <dc:creator>红缨教育</dc:creator>
  <cp:lastModifiedBy>鲍琪〈( ^.^)ノ Kate</cp:lastModifiedBy>
  <cp:lastPrinted>2019-02-15T02:35:00Z</cp:lastPrinted>
  <dcterms:modified xsi:type="dcterms:W3CDTF">2019-06-20T06:48:41Z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