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幼儿园万圣节整套方案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在西方国家，每年的10月31日，有个“Halloween”，辞典解释为“The eve of All Saints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'Day”，中文译作：“万圣节之夜”。万圣节是西方国家的传统节日。这一夜是一年中最“闹鬼”的一夜，所以也叫“鬼节”。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>万圣节流传到今天成了孩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子们最喜欢的一个节日，它已经完全没有了宗教迷信色彩。这个节日有很多趣味性的活动和奇异的装扮，充满着神秘色彩。为了让孩子感受这一独特的节日气氛，并且通过一起讨论有争议的“鬼”这个话题，让孩子正视它，培养孩子的胆量和分辨能力，感受西方的文化和体验游戏的快乐，一起来举办一场嗨皮的万圣节大派对吧！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活动目的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通过活动丰富幼儿的生活，让幼儿了解西方传统节日“万圣节”的由来，感受西方文化，让孩子能初步知道国际的文化色彩，感受异国的风俗节日。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宋体" w:eastAsia="仿宋_GB2312"/>
          <w:sz w:val="28"/>
          <w:szCs w:val="28"/>
        </w:rPr>
        <w:t>通过扮演，进一步感受万圣节的气氛，体验节日的快乐，锻炼孩子的胆量和辨别能力。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为幼儿创设良好的多元化的人文环境，提供良好的英语学习氛围，让孩子在游戏中快乐的学英语、讲英语。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提供家园互动机会，增进亲子交流。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万圣节活动形式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此次万圣节活动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中大班</w:t>
      </w:r>
      <w:r>
        <w:rPr>
          <w:rFonts w:hint="eastAsia" w:ascii="仿宋_GB2312" w:hAnsi="宋体" w:eastAsia="仿宋_GB2312"/>
          <w:sz w:val="28"/>
          <w:szCs w:val="28"/>
        </w:rPr>
        <w:t>以班级为单位，各自结合课程开展相关万圣节活动，待万圣节当天中高幼聚集一起参加老师组织的万圣游戏。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托小班</w:t>
      </w:r>
      <w:r>
        <w:rPr>
          <w:rFonts w:hint="eastAsia" w:ascii="仿宋_GB2312" w:hAnsi="宋体" w:eastAsia="仿宋_GB2312"/>
          <w:sz w:val="28"/>
          <w:szCs w:val="28"/>
        </w:rPr>
        <w:t>结合本月月末汇报邀请家长和小朋友一同来幼儿园参加万圣节活动。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三、万圣节当天活动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——中大班，各班幼儿穿戴好自己的万圣节服装，游园到班级进行讨糖游戏、找南瓜游戏，让孩子在与同伴老师的互动中体验万圣节的快乐。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——托小班，按照各班万圣节、月末汇报时间进行亲子活动。体验与同伴、家人一起共度节日的快乐。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四、活动流程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1.精彩英文秀（15:30—16:00）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各班在班级进行英文的汇报展示，中间的形式可以稍加调整，穿插一些万圣节的英文游戏和互动游戏，孩子们在简单装扮的同时感受节日的快乐，并能大胆地自信地秀秀英文。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2.亲子同乐化妆秀（16:10—16:40）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班级活动：各班请家长事先给孩子准备各种万圣节的打扮，可以扮作小天使、小巫婆、小魔术师以及各种小卡通形象。现场家长可以先和孩子一起穿好服装，然后给幼儿化妆，同时幼儿要学着给妈妈化妆。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3.游园舞会家庭秀（16:40—17:40）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主持：班级主管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集体活动：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在各自家庭装扮结束后，集体集中以方阵的形式围成马蹄形，由主持人带动大家一起进行家庭模特秀、互动游戏、集体律动、游园游戏等环节的组织，在共同游戏的活动中感受节日的快乐。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活动一：打怪兽（5-6岁）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目标：训练幼儿手眼协调能力和提高幼儿的竞争意识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准备：球若干、大篮子两个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玩法：教师事先可以准备两个篮子，分别贴上怪兽的样子，分组进行，请幼儿用球丢向怪兽，打怪兽，最后看哪组的幼儿丢的乒乓球最多。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活动二：咬苹果（4-5岁）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准备：苹果若干、脸盘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玩法：游戏时，人们让苹果漂浮在装满水的盆里，然后（分组）让孩子们在不用手的条件下用嘴去咬苹果，谁先咬到，谁就是优胜者。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活动三：吹面粉（3-4岁）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准备：面粉、10个小碗、乒乓球、透明眼罩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玩法：事先将小碗里装满面粉，把球放在第一个碗里，分两组进行，请幼儿进行吹面粉游戏。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4.“trick or treat”讨糖(17：40—18：00)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讨糖：走秀结束后，家长朋友各自带着小朋友到操场上，相互讨糖。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五、</w:t>
      </w:r>
      <w:r>
        <w:rPr>
          <w:rFonts w:hint="eastAsia" w:ascii="仿宋_GB2312" w:hAnsi="宋体" w:eastAsia="仿宋_GB2312"/>
          <w:sz w:val="28"/>
          <w:szCs w:val="28"/>
        </w:rPr>
        <w:t>活动相关准备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（一）各班教室及公共区域：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（万圣节来了：10月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宋体" w:eastAsia="仿宋_GB2312"/>
          <w:sz w:val="28"/>
          <w:szCs w:val="28"/>
        </w:rPr>
        <w:t>——31日 ）</w:t>
      </w:r>
    </w:p>
    <w:p>
      <w:pPr>
        <w:numPr>
          <w:ilvl w:val="0"/>
          <w:numId w:val="1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大厅、走道和各班级进行万圣节的环境布置，烘托节日的氛围。要求活动前的手工课可安排教师带领孩子们做万圣节的面具、蜘蛛、亲子南瓜灯等，并利用这些手工作品来装饰班级室内室外、物品柜；</w:t>
      </w:r>
    </w:p>
    <w:p>
      <w:pPr>
        <w:numPr>
          <w:ilvl w:val="0"/>
          <w:numId w:val="1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活动前利用网站、展板、家园栏等形式宣传万圣节的来历，低幼班级向家长发节日的邀请。</w:t>
      </w:r>
    </w:p>
    <w:p>
      <w:pPr>
        <w:numPr>
          <w:ilvl w:val="0"/>
          <w:numId w:val="1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制造万圣节情境，并在日常生活中适时播放相关音乐。建议音乐选用欢快的、易于学唱的万圣节英文歌曲。</w:t>
      </w:r>
    </w:p>
    <w:p>
      <w:pPr>
        <w:numPr>
          <w:ilvl w:val="0"/>
          <w:numId w:val="1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节日当天大门外张贴横幅---万圣游乐园会。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（二）班级：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（万圣节知识渗透：10月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29</w:t>
      </w:r>
      <w:r>
        <w:rPr>
          <w:rFonts w:hint="eastAsia" w:ascii="仿宋_GB2312" w:hAnsi="宋体" w:eastAsia="仿宋_GB2312"/>
          <w:sz w:val="28"/>
          <w:szCs w:val="28"/>
        </w:rPr>
        <w:t>—31日）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 利用一些与万圣节有关的有趣童书、图片或网站资料来吸引孩子对万圣节的兴趣。并且可以利用这个学习机会，让孩子发表对恐怖事物的一些感受及想法，并藉此建立对新事物尝试的勇气。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让孩子了解万圣节活动后， 与孩子进行相关美劳作品的制作，最后与孩子进行班级教室的共同布置，一起来营造热闹的万圣节气氛。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 共同制作各种道具，如奇装异服、鬼脸、魔鬼项链、各种脸谱、南瓜灯、女巫的披风等等。也可以延伸至一些相关的万圣节食品的制作或品尝，例如：南瓜派、南瓜糕、南瓜浓汤、南瓜饼等等。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各班利用海报板进行以班级为单位的“创意装扮”秀一秀，进行收集布置，在活动当天提前在公共区域进行展示和分享。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5. 低幼组发放邀请函，请家长参加活动，需要家长配合的游戏内容，可以提前与家长沟通，如准备好服装、糖果，以便活动当日何以顺利进行。</w:t>
      </w:r>
    </w:p>
    <w:p>
      <w:pPr>
        <w:numPr>
          <w:numId w:val="0"/>
        </w:numPr>
        <w:jc w:val="left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4E72FB"/>
    <w:multiLevelType w:val="singleLevel"/>
    <w:tmpl w:val="C34E72F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C39209F"/>
    <w:rsid w:val="60B56935"/>
    <w:rsid w:val="70E54EEF"/>
    <w:rsid w:val="7E5477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1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3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2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4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Light Shading Accent 3"/>
    <w:basedOn w:val="14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7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1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2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3">
    <w:name w:val="正文首行缩进 Char"/>
    <w:basedOn w:val="22"/>
    <w:link w:val="4"/>
    <w:qFormat/>
    <w:uiPriority w:val="0"/>
    <w:rPr>
      <w:rFonts w:eastAsia="宋体"/>
      <w:szCs w:val="20"/>
      <w:lang w:eastAsia="ar-SA"/>
    </w:rPr>
  </w:style>
  <w:style w:type="character" w:customStyle="1" w:styleId="24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5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25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2018-10-19T06:29:56Z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