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jc w:val="center"/>
        <w:rPr>
          <w:rFonts w:hint="eastAsia" w:ascii="微软雅黑" w:hAnsi="微软雅黑" w:eastAsia="微软雅黑" w:cs="微软雅黑"/>
          <w:b/>
          <w:bCs/>
          <w:sz w:val="36"/>
          <w:szCs w:val="36"/>
          <w:vertAlign w:val="baseline"/>
          <w:lang w:val="en-US" w:eastAsia="zh-CN"/>
        </w:rPr>
      </w:pPr>
      <w:r>
        <w:rPr>
          <w:rFonts w:hint="eastAsia" w:ascii="微软雅黑" w:hAnsi="微软雅黑" w:eastAsia="微软雅黑" w:cs="微软雅黑"/>
          <w:b/>
          <w:bCs/>
          <w:sz w:val="36"/>
          <w:szCs w:val="36"/>
          <w:vertAlign w:val="baseline"/>
          <w:lang w:val="en-US" w:eastAsia="zh-CN"/>
        </w:rPr>
        <w:t>教研活动计划（模版）</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一、教研活动背景</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指南》（P1页）中指出：“幼儿阶段是儿童身体发育和技能发展极为迅速的时期，······发育良好的身体、愉快的情绪、强健的体质、协调的动作、·······是幼儿身心健康的重要标志，也是其他领域学习与发展的基础。”</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《纲要》（P23页）中也指出：“（教师）uap根据幼儿的年龄特点和季节特点，灵活运用适当的组织形式与方法，保证运动量，引导幼儿上下左右肢体都参与活动。”</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在《指南》和《纲要》的指引下，反思我园体育游戏现状，发现由于教师较为年轻，教学经验尚少，在合理设计体育游戏、有效组织体育活动方面存在较多困惑，因此，我园本学年的教研活动以体育游戏为主题。</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二、教研主题</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研讨如何合理设计并有效组织体育游戏</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三、教研目标</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 引导教师深入理解合理设计体育游戏的标准和方法，帮助教师发展体育游戏设计能力。</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 通过观摩、研讨活动，加深教师对于体育游戏有效实施的认知，帮助其发展体育游戏组织能力。</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3. 通过多种教研形式激发教师参与教研的积极性，为教师的研究能力发展提供支持。</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四、教研重点</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引导教师能根据幼儿最近发展区制定和落实体育游戏活动目标及环节设计。</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五、教研难点</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能灵活运用体育游戏设计与组织的相关理论来研讨、分析体育游戏。</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六、教研方式</w:t>
      </w:r>
    </w:p>
    <w:p>
      <w:pPr>
        <w:numPr>
          <w:ilvl w:val="0"/>
          <w:numId w:val="0"/>
        </w:numPr>
        <w:spacing w:line="360" w:lineRule="auto"/>
        <w:ind w:firstLine="440" w:firstLineChars="2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活动观摩、分组研讨、集体分享</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七、教研准备</w:t>
      </w:r>
    </w:p>
    <w:p>
      <w:pPr>
        <w:numPr>
          <w:ilvl w:val="0"/>
          <w:numId w:val="1"/>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 xml:space="preserve"> 经验准备：教师了解体育游戏相关理论知识；有设计和组织体育游戏的经验。</w:t>
      </w:r>
    </w:p>
    <w:p>
      <w:pPr>
        <w:numPr>
          <w:ilvl w:val="0"/>
          <w:numId w:val="1"/>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 xml:space="preserve"> 物质准备：活动观摩表；大纸三张；记号笔若干；PPT；游戏材料若干；白板。</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八、教研过程</w:t>
      </w:r>
    </w:p>
    <w:p>
      <w:pPr>
        <w:numPr>
          <w:ilvl w:val="0"/>
          <w:numId w:val="0"/>
        </w:numPr>
        <w:spacing w:line="360" w:lineRule="auto"/>
        <w:ind w:leftChars="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（一）导入环节</w:t>
      </w:r>
    </w:p>
    <w:p>
      <w:pPr>
        <w:numPr>
          <w:ilvl w:val="0"/>
          <w:numId w:val="0"/>
        </w:numPr>
        <w:spacing w:line="360" w:lineRule="auto"/>
        <w:ind w:leftChars="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  观看ppt，回顾体育游戏设计与组织的相关理论知识。</w:t>
      </w:r>
    </w:p>
    <w:p>
      <w:pPr>
        <w:numPr>
          <w:ilvl w:val="0"/>
          <w:numId w:val="0"/>
        </w:numPr>
        <w:spacing w:line="360" w:lineRule="auto"/>
        <w:ind w:leftChars="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  本次教研任务说明</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 结合活动情况，审视体育活动目标及环节设计是否符合幼儿最近发展区？</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 活动过程是否具有层次性？是怎样体现层次性的？</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(3) 本次活动采用了哪些教育策略？</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(4) 你觉得在本次活动中哪些地方可以调整，从而使体育游戏更加完善？</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（二）教研活动过程</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 观摩活动+个体记录</w:t>
      </w:r>
    </w:p>
    <w:p>
      <w:pPr>
        <w:numPr>
          <w:ilvl w:val="0"/>
          <w:numId w:val="0"/>
        </w:numPr>
        <w:spacing w:line="360" w:lineRule="auto"/>
        <w:ind w:firstLine="660" w:firstLineChars="3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开展大班体育游戏《变形记》，教师进行现场观摩，并根据游戏实况记录自己的发现。</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 教师反思+分组讨论+集体分享</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（1）有组织活动的教师进行活动设计与实施的反思。</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（2）教师分为四组，对教研任务中的问题进行讨论，并将讨论结果归纳整理于大纸上。</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（3）每组派代表，根据本组研讨结果向大家分享介绍。</w:t>
      </w:r>
    </w:p>
    <w:p>
      <w:pPr>
        <w:numPr>
          <w:ilvl w:val="0"/>
          <w:numId w:val="0"/>
        </w:numPr>
        <w:spacing w:line="360" w:lineRule="auto"/>
        <w:ind w:firstLine="220" w:firstLineChars="100"/>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3. 经验整理与总结</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 xml:space="preserve">      汇总教师们的讨论内容，梳理合理创设并有效组织体育游戏的标准与方法。</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（三）教研感受分享</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 xml:space="preserve">      请教师根据本次教研活动，谈一谈自己的感受和启发。</w:t>
      </w:r>
    </w:p>
    <w:p>
      <w:pPr>
        <w:numPr>
          <w:ilvl w:val="0"/>
          <w:numId w:val="0"/>
        </w:numPr>
        <w:spacing w:line="360" w:lineRule="auto"/>
        <w:jc w:val="left"/>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（四）教研延伸</w:t>
      </w:r>
    </w:p>
    <w:p>
      <w:pPr>
        <w:numPr>
          <w:ilvl w:val="0"/>
          <w:numId w:val="0"/>
        </w:numPr>
        <w:spacing w:line="360" w:lineRule="auto"/>
        <w:jc w:val="left"/>
        <w:rPr>
          <w:rFonts w:hint="eastAsia" w:ascii="宋体" w:hAnsi="宋体" w:eastAsia="宋体" w:cs="宋体"/>
          <w:sz w:val="21"/>
          <w:szCs w:val="21"/>
          <w:vertAlign w:val="baseline"/>
          <w:lang w:val="en-US" w:eastAsia="zh-CN"/>
        </w:rPr>
      </w:pPr>
      <w:r>
        <w:rPr>
          <w:rFonts w:hint="eastAsia" w:ascii="宋体" w:hAnsi="宋体" w:eastAsia="宋体" w:cs="宋体"/>
          <w:sz w:val="22"/>
          <w:szCs w:val="22"/>
          <w:vertAlign w:val="baseline"/>
          <w:lang w:val="en-US" w:eastAsia="zh-CN"/>
        </w:rPr>
        <w:t xml:space="preserve">    结合本次教研活动中的收获，请尝试进行体育游戏材料的“一物多玩”：即选择一种材料，运用材料设计跳跃类游戏，要求能够符合幼儿年龄特点，能够体现层次性。</w:t>
      </w:r>
    </w:p>
    <w:p>
      <w:pPr>
        <w:numPr>
          <w:ilvl w:val="0"/>
          <w:numId w:val="0"/>
        </w:numPr>
        <w:spacing w:line="360" w:lineRule="auto"/>
        <w:jc w:val="left"/>
        <w:rPr>
          <w:rFonts w:hint="eastAsia" w:ascii="宋体" w:hAnsi="宋体" w:eastAsia="宋体" w:cs="宋体"/>
          <w:sz w:val="21"/>
          <w:szCs w:val="21"/>
          <w:vertAlign w:val="baseline"/>
          <w:lang w:val="en-US" w:eastAsia="zh-CN"/>
        </w:rPr>
      </w:pPr>
    </w:p>
    <w:p>
      <w:pPr>
        <w:jc w:val="left"/>
        <w:rPr>
          <w:rFonts w:ascii="仿宋_GB2312" w:hAnsi="宋体" w:eastAsia="仿宋_GB2312"/>
          <w:sz w:val="28"/>
          <w:szCs w:val="28"/>
        </w:rPr>
      </w:pPr>
      <w:bookmarkStart w:id="0" w:name="_GoBack"/>
      <w:bookmarkEnd w:id="0"/>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字体管家糖果">
    <w:altName w:val="宋体"/>
    <w:panose1 w:val="00020600040101010101"/>
    <w:charset w:val="86"/>
    <w:family w:val="auto"/>
    <w:pitch w:val="default"/>
    <w:sig w:usb0="00000000" w:usb1="00000000" w:usb2="00000016" w:usb3="00000000" w:csb0="0004009F" w:csb1="DFD70000"/>
  </w:font>
  <w:font w:name="楷体">
    <w:panose1 w:val="02010609060101010101"/>
    <w:charset w:val="86"/>
    <w:family w:val="auto"/>
    <w:pitch w:val="default"/>
    <w:sig w:usb0="800002BF" w:usb1="38CF7CFA" w:usb2="00000016" w:usb3="00000000" w:csb0="00040001" w:csb1="00000000"/>
  </w:font>
  <w:font w:name="Andale Sans UI">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8CF001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Light">
    <w:panose1 w:val="02010600030101010101"/>
    <w:charset w:val="86"/>
    <w:family w:val="auto"/>
    <w:pitch w:val="default"/>
    <w:sig w:usb0="A00002BF" w:usb1="38CF7CFA" w:usb2="00000016" w:usb3="00000000" w:csb0="0004000F" w:csb1="00000000"/>
  </w:font>
  <w:font w:name="Microsoft JhengHei Light">
    <w:panose1 w:val="020B0304030504040204"/>
    <w:charset w:val="88"/>
    <w:family w:val="auto"/>
    <w:pitch w:val="default"/>
    <w:sig w:usb0="800002A7" w:usb1="28CF4400" w:usb2="00000016" w:usb3="00000000" w:csb0="00100009" w:csb1="00000000"/>
  </w:font>
  <w:font w:name="Yu Gothic UI Semibold">
    <w:panose1 w:val="020B0700000000000000"/>
    <w:charset w:val="80"/>
    <w:family w:val="auto"/>
    <w:pitch w:val="default"/>
    <w:sig w:usb0="E00002FF" w:usb1="2AC7FDFF" w:usb2="00000016" w:usb3="00000000" w:csb0="2002009F" w:csb1="00000000"/>
  </w:font>
  <w:font w:name="Yu Gothic UI Semilight">
    <w:panose1 w:val="020B0400000000000000"/>
    <w:charset w:val="80"/>
    <w:family w:val="auto"/>
    <w:pitch w:val="default"/>
    <w:sig w:usb0="E00002FF" w:usb1="2AC7FDFF" w:usb2="00000016" w:usb3="00000000" w:csb0="2002009F" w:csb1="00000000"/>
  </w:font>
  <w:font w:name="Arial Black">
    <w:panose1 w:val="020B0A04020102020204"/>
    <w:charset w:val="00"/>
    <w:family w:val="auto"/>
    <w:pitch w:val="default"/>
    <w:sig w:usb0="A00002AF" w:usb1="400078FB" w:usb2="00000000" w:usb3="00000000" w:csb0="6000009F" w:csb1="DFD70000"/>
  </w:font>
  <w:font w:name="Franklin Gothic Medium">
    <w:panose1 w:val="020B0603020102020204"/>
    <w:charset w:val="00"/>
    <w:family w:val="auto"/>
    <w:pitch w:val="default"/>
    <w:sig w:usb0="00000287" w:usb1="00000000" w:usb2="00000000" w:usb3="00000000" w:csb0="2000009F" w:csb1="DFD70000"/>
  </w:font>
  <w:font w:name="Microsoft Sans Serif">
    <w:panose1 w:val="020B0604020202020204"/>
    <w:charset w:val="00"/>
    <w:family w:val="auto"/>
    <w:pitch w:val="default"/>
    <w:sig w:usb0="E5002EFF" w:usb1="C000605B" w:usb2="00000029" w:usb3="00000000" w:csb0="200101FF" w:csb1="20280000"/>
  </w:font>
  <w:font w:name="Microsoft Tai Le">
    <w:panose1 w:val="020B0502040204020203"/>
    <w:charset w:val="00"/>
    <w:family w:val="auto"/>
    <w:pitch w:val="default"/>
    <w:sig w:usb0="00000003" w:usb1="00000000" w:usb2="40000000" w:usb3="00000000" w:csb0="00000001" w:csb1="00000000"/>
  </w:font>
  <w:font w:name="MV Boli">
    <w:panose1 w:val="02000500030200090000"/>
    <w:charset w:val="00"/>
    <w:family w:val="auto"/>
    <w:pitch w:val="default"/>
    <w:sig w:usb0="00000003" w:usb1="00000000" w:usb2="00000100" w:usb3="00000000" w:csb0="00000001" w:csb1="00000000"/>
  </w:font>
  <w:font w:name="Segoe UI Black">
    <w:panose1 w:val="020B0A02040204020203"/>
    <w:charset w:val="00"/>
    <w:family w:val="auto"/>
    <w:pitch w:val="default"/>
    <w:sig w:usb0="E10002FF" w:usb1="4000E47F" w:usb2="00000021" w:usb3="00000000" w:csb0="2000019F" w:csb1="00000000"/>
  </w:font>
  <w:font w:name="Symbol">
    <w:panose1 w:val="05050102010706020507"/>
    <w:charset w:val="00"/>
    <w:family w:val="auto"/>
    <w:pitch w:val="default"/>
    <w:sig w:usb0="00000000" w:usb1="00000000" w:usb2="00000000" w:usb3="00000000" w:csb0="80000000" w:csb1="00000000"/>
  </w:font>
  <w:font w:name="Sylfaen">
    <w:panose1 w:val="010A0502050306030303"/>
    <w:charset w:val="00"/>
    <w:family w:val="auto"/>
    <w:pitch w:val="default"/>
    <w:sig w:usb0="04000687" w:usb1="00000000" w:usb2="00000000" w:usb3="00000000" w:csb0="2000009F" w:csb1="00000000"/>
  </w:font>
  <w:font w:name="Sitka Text">
    <w:panose1 w:val="02000505000000020004"/>
    <w:charset w:val="00"/>
    <w:family w:val="auto"/>
    <w:pitch w:val="default"/>
    <w:sig w:usb0="A00002EF" w:usb1="4000204B" w:usb2="00000000" w:usb3="00000000" w:csb0="2000019F" w:csb1="00000000"/>
  </w:font>
  <w:font w:name="Sitka Subheading">
    <w:panose1 w:val="02000505000000020004"/>
    <w:charset w:val="00"/>
    <w:family w:val="auto"/>
    <w:pitch w:val="default"/>
    <w:sig w:usb0="A00002EF" w:usb1="4000204B" w:usb2="00000000" w:usb3="00000000" w:csb0="2000019F" w:csb1="00000000"/>
  </w:font>
  <w:font w:name="Sitka Small">
    <w:panose1 w:val="02000505000000020004"/>
    <w:charset w:val="00"/>
    <w:family w:val="auto"/>
    <w:pitch w:val="default"/>
    <w:sig w:usb0="A00002EF" w:usb1="4000204B" w:usb2="00000000" w:usb3="00000000" w:csb0="2000019F" w:csb1="00000000"/>
  </w:font>
  <w:font w:name="Sitka Heading">
    <w:panose1 w:val="02000505000000020004"/>
    <w:charset w:val="00"/>
    <w:family w:val="auto"/>
    <w:pitch w:val="default"/>
    <w:sig w:usb0="A00002EF" w:usb1="4000204B" w:usb2="00000000" w:usb3="00000000" w:csb0="2000019F" w:csb1="00000000"/>
  </w:font>
  <w:font w:name="Sitka Display">
    <w:panose1 w:val="02000505000000020004"/>
    <w:charset w:val="00"/>
    <w:family w:val="auto"/>
    <w:pitch w:val="default"/>
    <w:sig w:usb0="A00002EF" w:usb1="4000204B" w:usb2="00000000" w:usb3="00000000" w:csb0="2000019F" w:csb1="00000000"/>
  </w:font>
  <w:font w:name="Sitka Banner">
    <w:panose1 w:val="02000505000000020004"/>
    <w:charset w:val="00"/>
    <w:family w:val="auto"/>
    <w:pitch w:val="default"/>
    <w:sig w:usb0="A00002EF" w:usb1="4000204B" w:usb2="00000000" w:usb3="00000000" w:csb0="2000019F" w:csb1="00000000"/>
  </w:font>
  <w:font w:name="Segoe UI Symbol">
    <w:panose1 w:val="020B0502040204020203"/>
    <w:charset w:val="00"/>
    <w:family w:val="auto"/>
    <w:pitch w:val="default"/>
    <w:sig w:usb0="800001E3" w:usb1="1200FFEF" w:usb2="00040000" w:usb3="04000000" w:csb0="00000001" w:csb1="4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default"/>
    <w:sig w:usb0="E00002FF" w:usb1="420024FF" w:usb2="00000000" w:usb3="00000000" w:csb0="2000019F" w:csb1="00000000"/>
  </w:font>
  <w:font w:name="Yu Gothic Medium">
    <w:panose1 w:val="020B0500000000000000"/>
    <w:charset w:val="80"/>
    <w:family w:val="auto"/>
    <w:pitch w:val="default"/>
    <w:sig w:usb0="E00002FF" w:usb1="2AC7FDFF" w:usb2="00000016" w:usb3="00000000" w:csb0="2002009F" w:csb1="00000000"/>
  </w:font>
  <w:font w:name="Calibri Light">
    <w:panose1 w:val="020F0302020204030204"/>
    <w:charset w:val="00"/>
    <w:family w:val="auto"/>
    <w:pitch w:val="default"/>
    <w:sig w:usb0="E0002A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Segoe UI Semilight">
    <w:panose1 w:val="020B0402040204020203"/>
    <w:charset w:val="00"/>
    <w:family w:val="auto"/>
    <w:pitch w:val="default"/>
    <w:sig w:usb0="E4002EFF" w:usb1="C000E47F"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auto"/>
    <w:pitch w:val="default"/>
    <w:sig w:usb0="A10006FF" w:usb1="4000205B" w:usb2="00000010" w:usb3="00000000" w:csb0="2000019F" w:csb1="00000000"/>
  </w:font>
  <w:font w:name="方正书宋简体_x0003_.">
    <w:altName w:val="宋体"/>
    <w:panose1 w:val="00000000000000000000"/>
    <w:charset w:val="86"/>
    <w:family w:val="roman"/>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Yu Gothic">
    <w:panose1 w:val="020B0400000000000000"/>
    <w:charset w:val="80"/>
    <w:family w:val="auto"/>
    <w:pitch w:val="default"/>
    <w:sig w:usb0="E00002FF" w:usb1="2AC7FDFF" w:usb2="00000016" w:usb3="00000000" w:csb0="2002009F" w:csb1="00000000"/>
  </w:font>
  <w:font w:name="????">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A5D7A"/>
    <w:multiLevelType w:val="singleLevel"/>
    <w:tmpl w:val="5AEA5D7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60B56935"/>
    <w:rsid w:val="634A76D2"/>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ScaleCrop>false</ScaleCrop>
  <LinksUpToDate>false</LinksUpToDate>
  <CharactersWithSpaces>4602</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2018-05-03T08:53:43Z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